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3670A" w14:textId="77777777" w:rsidR="00515DFA" w:rsidRDefault="00515DFA" w:rsidP="00515DFA">
      <w:pPr>
        <w:spacing w:after="0" w:line="360" w:lineRule="auto"/>
        <w:jc w:val="both"/>
        <w:rPr>
          <w:rFonts w:ascii="Arial" w:hAnsi="Arial" w:cs="Arial"/>
          <w:b/>
          <w:bCs/>
          <w:u w:val="single"/>
        </w:rPr>
      </w:pPr>
      <w:r>
        <w:rPr>
          <w:rFonts w:ascii="Arial" w:hAnsi="Arial" w:cs="Arial"/>
          <w:b/>
          <w:bCs/>
          <w:u w:val="single"/>
        </w:rPr>
        <w:t>Currency Background and Speculation</w:t>
      </w:r>
    </w:p>
    <w:p w14:paraId="55C4B436" w14:textId="77777777" w:rsidR="00515DFA" w:rsidRPr="003E0CF3" w:rsidRDefault="00515DFA" w:rsidP="00515DFA">
      <w:pPr>
        <w:spacing w:after="0" w:line="360" w:lineRule="auto"/>
        <w:jc w:val="both"/>
        <w:rPr>
          <w:rFonts w:ascii="Arial" w:hAnsi="Arial" w:cs="Arial"/>
          <w:b/>
          <w:bCs/>
          <w:u w:val="single"/>
        </w:rPr>
      </w:pPr>
    </w:p>
    <w:p w14:paraId="764263B1" w14:textId="77777777" w:rsidR="00515DFA" w:rsidRDefault="00515DFA" w:rsidP="00515DFA">
      <w:pPr>
        <w:spacing w:after="0" w:line="360" w:lineRule="auto"/>
        <w:jc w:val="both"/>
        <w:rPr>
          <w:rFonts w:ascii="Arial" w:hAnsi="Arial" w:cs="Arial"/>
        </w:rPr>
      </w:pPr>
      <w:r>
        <w:rPr>
          <w:rFonts w:ascii="Arial" w:hAnsi="Arial" w:cs="Arial"/>
        </w:rPr>
        <w:t>I chose the Ghana cedi (GHS) for my project. This is the currency of my native country, Ghana and is available in six denominations (notes) as well as five coin denominations as shown on the first page. Ghana revamped its currency system in 2007 when the “new Ghana Cedi” was introduced, at which time 1 GHS was equal to 1 USD. However, over time, the GHS has failed to hold up against the dollar and has consequently been the weaker currency since.</w:t>
      </w:r>
    </w:p>
    <w:p w14:paraId="6BF7629A" w14:textId="77777777" w:rsidR="00515DFA" w:rsidRDefault="00515DFA" w:rsidP="00515DFA">
      <w:pPr>
        <w:spacing w:after="0" w:line="360" w:lineRule="auto"/>
        <w:jc w:val="both"/>
        <w:rPr>
          <w:rFonts w:ascii="Arial" w:hAnsi="Arial" w:cs="Arial"/>
        </w:rPr>
      </w:pPr>
    </w:p>
    <w:p w14:paraId="0C8E9DF7" w14:textId="77777777" w:rsidR="00515DFA" w:rsidRDefault="00515DFA" w:rsidP="00515DFA">
      <w:pPr>
        <w:spacing w:after="0" w:line="360" w:lineRule="auto"/>
        <w:jc w:val="both"/>
        <w:rPr>
          <w:rFonts w:ascii="Arial" w:hAnsi="Arial" w:cs="Arial"/>
        </w:rPr>
      </w:pPr>
      <w:r>
        <w:rPr>
          <w:rFonts w:ascii="Arial" w:hAnsi="Arial" w:cs="Arial"/>
        </w:rPr>
        <w:t xml:space="preserve">My preliminary analysis showed that the GHS was slowly appreciating against the dollar earlier in the year, which was not surprising to me because this is an election year in Ghana and I suspect the government will put in efforts to reduce inflation in the country and stabilize the dollar in an effort to win votes, especially since the current government made stabilizing the dollar one of its paramount campaign promises in 2016. Once the COVID-19 crises started taking a toll on the U.S economy, I was confident that the GHS would do even better against the dollar, especially since Ghana, like most African countries, was among the least affected countries. </w:t>
      </w:r>
      <w:r w:rsidRPr="00931634">
        <w:rPr>
          <w:rFonts w:ascii="Arial" w:hAnsi="Arial" w:cs="Arial"/>
          <w:b/>
          <w:bCs/>
        </w:rPr>
        <w:t>Therefore, I speculated that the GHS would appreciate against the dollar between March 23 and April 17, 2020</w:t>
      </w:r>
      <w:r>
        <w:rPr>
          <w:rFonts w:ascii="Arial" w:hAnsi="Arial" w:cs="Arial"/>
        </w:rPr>
        <w:t xml:space="preserve">. </w:t>
      </w:r>
    </w:p>
    <w:p w14:paraId="564ED57C" w14:textId="77777777" w:rsidR="00515DFA" w:rsidRDefault="00515DFA" w:rsidP="00515DFA">
      <w:pPr>
        <w:spacing w:after="0" w:line="360" w:lineRule="auto"/>
        <w:jc w:val="both"/>
        <w:rPr>
          <w:rFonts w:ascii="Arial" w:hAnsi="Arial" w:cs="Arial"/>
        </w:rPr>
      </w:pPr>
    </w:p>
    <w:p w14:paraId="2960DE33" w14:textId="77777777" w:rsidR="00515DFA" w:rsidRDefault="00515DFA" w:rsidP="00515DFA">
      <w:pPr>
        <w:spacing w:after="0" w:line="360" w:lineRule="auto"/>
        <w:jc w:val="both"/>
        <w:rPr>
          <w:rFonts w:ascii="Arial" w:hAnsi="Arial" w:cs="Arial"/>
        </w:rPr>
      </w:pPr>
      <w:r>
        <w:rPr>
          <w:rFonts w:ascii="Arial" w:hAnsi="Arial" w:cs="Arial"/>
        </w:rPr>
        <w:t xml:space="preserve">With this speculation, I look the long position and bought GHS with my $1,000,000, with the goal to sell it on April 18, 2020 and make profit off the transaction. Details of the transaction and purchase made before the 25-day period is shown in </w:t>
      </w:r>
      <w:r w:rsidRPr="00F50B54">
        <w:rPr>
          <w:rFonts w:ascii="Arial" w:hAnsi="Arial" w:cs="Arial"/>
          <w:b/>
          <w:bCs/>
        </w:rPr>
        <w:t>Table 1</w:t>
      </w:r>
      <w:r>
        <w:rPr>
          <w:rFonts w:ascii="Arial" w:hAnsi="Arial" w:cs="Arial"/>
        </w:rPr>
        <w:t xml:space="preserve"> below. In total, I received </w:t>
      </w:r>
      <w:r w:rsidRPr="00EC2382">
        <w:rPr>
          <w:rFonts w:ascii="Arial" w:eastAsia="Times New Roman" w:hAnsi="Arial" w:cs="Arial"/>
          <w:color w:val="000000"/>
        </w:rPr>
        <w:t xml:space="preserve">GH¢ </w:t>
      </w:r>
      <w:r w:rsidRPr="00BE257D">
        <w:rPr>
          <w:rFonts w:ascii="Arial" w:eastAsia="Times New Roman" w:hAnsi="Arial" w:cs="Arial"/>
          <w:color w:val="000000"/>
        </w:rPr>
        <w:t>5,</w:t>
      </w:r>
      <w:r>
        <w:rPr>
          <w:rFonts w:ascii="Arial" w:eastAsia="Times New Roman" w:hAnsi="Arial" w:cs="Arial"/>
          <w:color w:val="000000"/>
        </w:rPr>
        <w:t>650</w:t>
      </w:r>
      <w:r w:rsidRPr="00BE257D">
        <w:rPr>
          <w:rFonts w:ascii="Arial" w:eastAsia="Times New Roman" w:hAnsi="Arial" w:cs="Arial"/>
          <w:color w:val="000000"/>
        </w:rPr>
        <w:t>,</w:t>
      </w:r>
      <w:r>
        <w:rPr>
          <w:rFonts w:ascii="Arial" w:eastAsia="Times New Roman" w:hAnsi="Arial" w:cs="Arial"/>
          <w:color w:val="000000"/>
        </w:rPr>
        <w:t>0</w:t>
      </w:r>
      <w:r w:rsidRPr="00BE257D">
        <w:rPr>
          <w:rFonts w:ascii="Arial" w:eastAsia="Times New Roman" w:hAnsi="Arial" w:cs="Arial"/>
          <w:color w:val="000000"/>
        </w:rPr>
        <w:t>00.00</w:t>
      </w:r>
      <w:r>
        <w:rPr>
          <w:rFonts w:ascii="Arial" w:eastAsia="Times New Roman" w:hAnsi="Arial" w:cs="Arial"/>
          <w:color w:val="000000"/>
        </w:rPr>
        <w:t xml:space="preserve"> (assuming any transaction costs are ignored). The USD/GHS exchange rate was then monitored during the 25-day period and the fluctuations are shown in </w:t>
      </w:r>
      <w:r w:rsidRPr="00A13A83">
        <w:rPr>
          <w:rFonts w:ascii="Arial" w:eastAsia="Times New Roman" w:hAnsi="Arial" w:cs="Arial"/>
          <w:b/>
          <w:bCs/>
          <w:color w:val="000000"/>
        </w:rPr>
        <w:t>Figure 1</w:t>
      </w:r>
      <w:r>
        <w:rPr>
          <w:rFonts w:ascii="Arial" w:eastAsia="Times New Roman" w:hAnsi="Arial" w:cs="Arial"/>
          <w:color w:val="000000"/>
        </w:rPr>
        <w:t xml:space="preserve"> on the next page. </w:t>
      </w:r>
    </w:p>
    <w:p w14:paraId="04391070" w14:textId="77777777" w:rsidR="00515DFA" w:rsidRDefault="00515DFA" w:rsidP="00515DFA">
      <w:pPr>
        <w:spacing w:after="0" w:line="360" w:lineRule="auto"/>
        <w:jc w:val="both"/>
        <w:rPr>
          <w:rFonts w:ascii="Arial" w:hAnsi="Arial" w:cs="Arial"/>
        </w:rPr>
      </w:pPr>
    </w:p>
    <w:p w14:paraId="1C385E39" w14:textId="77777777" w:rsidR="00515DFA" w:rsidRPr="00302C70" w:rsidRDefault="00515DFA" w:rsidP="00515DFA">
      <w:pPr>
        <w:spacing w:after="0" w:line="360" w:lineRule="auto"/>
        <w:jc w:val="both"/>
        <w:rPr>
          <w:rFonts w:ascii="Arial" w:hAnsi="Arial" w:cs="Arial"/>
          <w:sz w:val="20"/>
          <w:szCs w:val="20"/>
        </w:rPr>
      </w:pPr>
      <w:r w:rsidRPr="00F50B54">
        <w:rPr>
          <w:rFonts w:ascii="Arial" w:hAnsi="Arial" w:cs="Arial"/>
          <w:b/>
          <w:bCs/>
          <w:sz w:val="20"/>
          <w:szCs w:val="20"/>
        </w:rPr>
        <w:t>Table 1:</w:t>
      </w:r>
      <w:r w:rsidRPr="00302C70">
        <w:rPr>
          <w:rFonts w:ascii="Arial" w:hAnsi="Arial" w:cs="Arial"/>
          <w:sz w:val="20"/>
          <w:szCs w:val="20"/>
        </w:rPr>
        <w:t xml:space="preserve"> </w:t>
      </w:r>
      <w:r>
        <w:rPr>
          <w:rFonts w:ascii="Arial" w:hAnsi="Arial" w:cs="Arial"/>
          <w:sz w:val="20"/>
          <w:szCs w:val="20"/>
        </w:rPr>
        <w:t xml:space="preserve">Purchase of GHS with $1,000,000 </w:t>
      </w:r>
    </w:p>
    <w:tbl>
      <w:tblPr>
        <w:tblStyle w:val="PlainTable3"/>
        <w:tblW w:w="9935" w:type="dxa"/>
        <w:tblLook w:val="04A0" w:firstRow="1" w:lastRow="0" w:firstColumn="1" w:lastColumn="0" w:noHBand="0" w:noVBand="1"/>
      </w:tblPr>
      <w:tblGrid>
        <w:gridCol w:w="7072"/>
        <w:gridCol w:w="2863"/>
      </w:tblGrid>
      <w:tr w:rsidR="00515DFA" w:rsidRPr="00BE257D" w14:paraId="03E30B81" w14:textId="77777777" w:rsidTr="001A5B77">
        <w:trPr>
          <w:cnfStyle w:val="100000000000" w:firstRow="1" w:lastRow="0" w:firstColumn="0" w:lastColumn="0" w:oddVBand="0" w:evenVBand="0" w:oddHBand="0" w:evenHBand="0" w:firstRowFirstColumn="0" w:firstRowLastColumn="0" w:lastRowFirstColumn="0" w:lastRowLastColumn="0"/>
          <w:trHeight w:val="695"/>
        </w:trPr>
        <w:tc>
          <w:tcPr>
            <w:cnfStyle w:val="001000000100" w:firstRow="0" w:lastRow="0" w:firstColumn="1" w:lastColumn="0" w:oddVBand="0" w:evenVBand="0" w:oddHBand="0" w:evenHBand="0" w:firstRowFirstColumn="1" w:firstRowLastColumn="0" w:lastRowFirstColumn="0" w:lastRowLastColumn="0"/>
            <w:tcW w:w="9935" w:type="dxa"/>
            <w:gridSpan w:val="2"/>
            <w:tcBorders>
              <w:top w:val="single" w:sz="4" w:space="0" w:color="auto"/>
            </w:tcBorders>
            <w:noWrap/>
            <w:vAlign w:val="center"/>
            <w:hideMark/>
          </w:tcPr>
          <w:p w14:paraId="398379C3" w14:textId="77777777" w:rsidR="00515DFA" w:rsidRPr="00BE257D" w:rsidRDefault="00515DFA" w:rsidP="001A5B77">
            <w:pPr>
              <w:jc w:val="center"/>
              <w:rPr>
                <w:rFonts w:ascii="Arial" w:eastAsia="Times New Roman" w:hAnsi="Arial" w:cs="Arial"/>
                <w:color w:val="000000"/>
              </w:rPr>
            </w:pPr>
            <w:r w:rsidRPr="00BE257D">
              <w:rPr>
                <w:rFonts w:ascii="Arial" w:eastAsia="Times New Roman" w:hAnsi="Arial" w:cs="Arial"/>
                <w:color w:val="000000"/>
              </w:rPr>
              <w:t>Transaction details</w:t>
            </w:r>
          </w:p>
        </w:tc>
      </w:tr>
      <w:tr w:rsidR="00515DFA" w:rsidRPr="00BE257D" w14:paraId="6C3A4C56" w14:textId="77777777" w:rsidTr="001A5B77">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7072" w:type="dxa"/>
            <w:noWrap/>
            <w:vAlign w:val="center"/>
            <w:hideMark/>
          </w:tcPr>
          <w:p w14:paraId="383D094A" w14:textId="77777777" w:rsidR="00515DFA" w:rsidRPr="00BE257D" w:rsidRDefault="00515DFA" w:rsidP="001A5B77">
            <w:pPr>
              <w:rPr>
                <w:rFonts w:ascii="Arial" w:eastAsia="Times New Roman" w:hAnsi="Arial" w:cs="Arial"/>
                <w:color w:val="000000"/>
              </w:rPr>
            </w:pPr>
            <w:r w:rsidRPr="00BE257D">
              <w:rPr>
                <w:rFonts w:ascii="Arial" w:eastAsia="Times New Roman" w:hAnsi="Arial" w:cs="Arial"/>
                <w:color w:val="000000"/>
              </w:rPr>
              <w:t>USD/GHS exchange rate on 3/23/2020</w:t>
            </w:r>
          </w:p>
        </w:tc>
        <w:tc>
          <w:tcPr>
            <w:tcW w:w="2862" w:type="dxa"/>
            <w:noWrap/>
            <w:vAlign w:val="center"/>
            <w:hideMark/>
          </w:tcPr>
          <w:p w14:paraId="189A22EB" w14:textId="77777777" w:rsidR="00515DFA" w:rsidRPr="00BE257D" w:rsidRDefault="00515DFA" w:rsidP="001A5B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BE257D">
              <w:rPr>
                <w:rFonts w:ascii="Arial" w:eastAsia="Times New Roman" w:hAnsi="Arial" w:cs="Arial"/>
                <w:color w:val="000000"/>
              </w:rPr>
              <w:t>5.65</w:t>
            </w:r>
            <w:r>
              <w:rPr>
                <w:rFonts w:ascii="Arial" w:eastAsia="Times New Roman" w:hAnsi="Arial" w:cs="Arial"/>
                <w:color w:val="000000"/>
              </w:rPr>
              <w:t>*</w:t>
            </w:r>
          </w:p>
        </w:tc>
      </w:tr>
      <w:tr w:rsidR="00515DFA" w:rsidRPr="00BE257D" w14:paraId="2DCA2FDC" w14:textId="77777777" w:rsidTr="001A5B77">
        <w:trPr>
          <w:trHeight w:val="695"/>
        </w:trPr>
        <w:tc>
          <w:tcPr>
            <w:cnfStyle w:val="001000000000" w:firstRow="0" w:lastRow="0" w:firstColumn="1" w:lastColumn="0" w:oddVBand="0" w:evenVBand="0" w:oddHBand="0" w:evenHBand="0" w:firstRowFirstColumn="0" w:firstRowLastColumn="0" w:lastRowFirstColumn="0" w:lastRowLastColumn="0"/>
            <w:tcW w:w="7072" w:type="dxa"/>
            <w:noWrap/>
            <w:vAlign w:val="center"/>
            <w:hideMark/>
          </w:tcPr>
          <w:p w14:paraId="138F7D93" w14:textId="77777777" w:rsidR="00515DFA" w:rsidRPr="00BE257D" w:rsidRDefault="00515DFA" w:rsidP="001A5B77">
            <w:pPr>
              <w:rPr>
                <w:rFonts w:ascii="Arial" w:eastAsia="Times New Roman" w:hAnsi="Arial" w:cs="Arial"/>
                <w:color w:val="000000"/>
              </w:rPr>
            </w:pPr>
            <w:r w:rsidRPr="00BE257D">
              <w:rPr>
                <w:rFonts w:ascii="Arial" w:eastAsia="Times New Roman" w:hAnsi="Arial" w:cs="Arial"/>
                <w:color w:val="000000"/>
              </w:rPr>
              <w:t>Amount purchased</w:t>
            </w:r>
          </w:p>
        </w:tc>
        <w:tc>
          <w:tcPr>
            <w:tcW w:w="2862" w:type="dxa"/>
            <w:noWrap/>
            <w:vAlign w:val="center"/>
            <w:hideMark/>
          </w:tcPr>
          <w:p w14:paraId="02D12D79" w14:textId="77777777" w:rsidR="00515DFA" w:rsidRPr="00BE257D" w:rsidRDefault="00515DFA" w:rsidP="001A5B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BE257D">
              <w:rPr>
                <w:rFonts w:ascii="Arial" w:eastAsia="Times New Roman" w:hAnsi="Arial" w:cs="Arial"/>
                <w:color w:val="000000"/>
              </w:rPr>
              <w:t>$1,000,000.00</w:t>
            </w:r>
          </w:p>
        </w:tc>
      </w:tr>
      <w:tr w:rsidR="00515DFA" w:rsidRPr="00BE257D" w14:paraId="6B0047EA" w14:textId="77777777" w:rsidTr="001A5B77">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7072" w:type="dxa"/>
            <w:tcBorders>
              <w:bottom w:val="single" w:sz="4" w:space="0" w:color="auto"/>
            </w:tcBorders>
            <w:noWrap/>
            <w:vAlign w:val="center"/>
            <w:hideMark/>
          </w:tcPr>
          <w:p w14:paraId="409AC78B" w14:textId="77777777" w:rsidR="00515DFA" w:rsidRPr="00BE257D" w:rsidRDefault="00515DFA" w:rsidP="001A5B77">
            <w:pPr>
              <w:rPr>
                <w:rFonts w:ascii="Arial" w:eastAsia="Times New Roman" w:hAnsi="Arial" w:cs="Arial"/>
                <w:color w:val="000000"/>
              </w:rPr>
            </w:pPr>
            <w:r w:rsidRPr="00BE257D">
              <w:rPr>
                <w:rFonts w:ascii="Arial" w:eastAsia="Times New Roman" w:hAnsi="Arial" w:cs="Arial"/>
                <w:color w:val="000000"/>
              </w:rPr>
              <w:t>Amount received</w:t>
            </w:r>
          </w:p>
        </w:tc>
        <w:tc>
          <w:tcPr>
            <w:tcW w:w="2862" w:type="dxa"/>
            <w:tcBorders>
              <w:bottom w:val="single" w:sz="4" w:space="0" w:color="auto"/>
            </w:tcBorders>
            <w:noWrap/>
            <w:vAlign w:val="center"/>
            <w:hideMark/>
          </w:tcPr>
          <w:p w14:paraId="0CE5E7F5" w14:textId="77777777" w:rsidR="00515DFA" w:rsidRPr="00BE257D" w:rsidRDefault="00515DFA" w:rsidP="001A5B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C2382">
              <w:rPr>
                <w:rFonts w:ascii="Arial" w:eastAsia="Times New Roman" w:hAnsi="Arial" w:cs="Arial"/>
                <w:color w:val="000000"/>
              </w:rPr>
              <w:t xml:space="preserve">GH¢ </w:t>
            </w:r>
            <w:r w:rsidRPr="00BE257D">
              <w:rPr>
                <w:rFonts w:ascii="Arial" w:eastAsia="Times New Roman" w:hAnsi="Arial" w:cs="Arial"/>
                <w:color w:val="000000"/>
              </w:rPr>
              <w:t>5,</w:t>
            </w:r>
            <w:r>
              <w:rPr>
                <w:rFonts w:ascii="Arial" w:eastAsia="Times New Roman" w:hAnsi="Arial" w:cs="Arial"/>
                <w:color w:val="000000"/>
              </w:rPr>
              <w:t>650</w:t>
            </w:r>
            <w:r w:rsidRPr="00BE257D">
              <w:rPr>
                <w:rFonts w:ascii="Arial" w:eastAsia="Times New Roman" w:hAnsi="Arial" w:cs="Arial"/>
                <w:color w:val="000000"/>
              </w:rPr>
              <w:t>,</w:t>
            </w:r>
            <w:r>
              <w:rPr>
                <w:rFonts w:ascii="Arial" w:eastAsia="Times New Roman" w:hAnsi="Arial" w:cs="Arial"/>
                <w:color w:val="000000"/>
              </w:rPr>
              <w:t>0</w:t>
            </w:r>
            <w:r w:rsidRPr="00BE257D">
              <w:rPr>
                <w:rFonts w:ascii="Arial" w:eastAsia="Times New Roman" w:hAnsi="Arial" w:cs="Arial"/>
                <w:color w:val="000000"/>
              </w:rPr>
              <w:t>00.00</w:t>
            </w:r>
          </w:p>
        </w:tc>
      </w:tr>
    </w:tbl>
    <w:p w14:paraId="04D3D8C4" w14:textId="77777777" w:rsidR="00515DFA" w:rsidRPr="00515DFA" w:rsidRDefault="00515DFA" w:rsidP="00515DFA">
      <w:pPr>
        <w:spacing w:after="0" w:line="360" w:lineRule="auto"/>
        <w:jc w:val="both"/>
        <w:rPr>
          <w:rFonts w:ascii="Arial" w:hAnsi="Arial" w:cs="Arial"/>
          <w:sz w:val="20"/>
          <w:szCs w:val="20"/>
        </w:rPr>
        <w:sectPr w:rsidR="00515DFA" w:rsidRPr="00515DFA">
          <w:headerReference w:type="default" r:id="rId7"/>
          <w:footerReference w:type="default" r:id="rId8"/>
          <w:pgSz w:w="12240" w:h="15840"/>
          <w:pgMar w:top="1440" w:right="1440" w:bottom="1440" w:left="1440" w:header="720" w:footer="720" w:gutter="0"/>
          <w:cols w:space="720"/>
          <w:docGrid w:linePitch="360"/>
        </w:sectPr>
      </w:pPr>
      <w:r w:rsidRPr="00EB5F49">
        <w:rPr>
          <w:rFonts w:ascii="Arial" w:hAnsi="Arial" w:cs="Arial"/>
          <w:sz w:val="20"/>
          <w:szCs w:val="20"/>
        </w:rPr>
        <w:t xml:space="preserve">*exchange rate according the WSJ at </w:t>
      </w:r>
      <w:hyperlink r:id="rId9" w:history="1">
        <w:r w:rsidRPr="00EB5F49">
          <w:rPr>
            <w:rStyle w:val="Hyperlink"/>
            <w:rFonts w:ascii="Arial" w:hAnsi="Arial" w:cs="Arial"/>
            <w:sz w:val="20"/>
            <w:szCs w:val="20"/>
          </w:rPr>
          <w:t>https://www.wsj.com/market-data/quotes/fx/USDGHS/</w:t>
        </w:r>
      </w:hyperlink>
    </w:p>
    <w:p w14:paraId="4E2F9B50" w14:textId="77777777" w:rsidR="00515DFA" w:rsidRPr="009B6439" w:rsidRDefault="00515DFA" w:rsidP="00515DFA">
      <w:pPr>
        <w:spacing w:after="0" w:line="360" w:lineRule="auto"/>
        <w:jc w:val="both"/>
        <w:rPr>
          <w:rFonts w:ascii="Arial" w:hAnsi="Arial" w:cs="Arial"/>
          <w:sz w:val="20"/>
          <w:szCs w:val="20"/>
        </w:rPr>
      </w:pPr>
      <w:r w:rsidRPr="009B6439">
        <w:rPr>
          <w:rFonts w:ascii="Arial" w:hAnsi="Arial" w:cs="Arial"/>
          <w:b/>
          <w:bCs/>
          <w:sz w:val="20"/>
          <w:szCs w:val="20"/>
        </w:rPr>
        <w:lastRenderedPageBreak/>
        <w:t>Table 2:</w:t>
      </w:r>
      <w:r w:rsidRPr="009B6439">
        <w:rPr>
          <w:rFonts w:ascii="Arial" w:hAnsi="Arial" w:cs="Arial"/>
          <w:sz w:val="20"/>
          <w:szCs w:val="20"/>
        </w:rPr>
        <w:t xml:space="preserve"> Daily gains(losses) on speculation </w:t>
      </w:r>
    </w:p>
    <w:tbl>
      <w:tblPr>
        <w:tblW w:w="9260" w:type="dxa"/>
        <w:tblLook w:val="04A0" w:firstRow="1" w:lastRow="0" w:firstColumn="1" w:lastColumn="0" w:noHBand="0" w:noVBand="1"/>
      </w:tblPr>
      <w:tblGrid>
        <w:gridCol w:w="1314"/>
        <w:gridCol w:w="1293"/>
        <w:gridCol w:w="1314"/>
        <w:gridCol w:w="1396"/>
        <w:gridCol w:w="2362"/>
        <w:gridCol w:w="1581"/>
      </w:tblGrid>
      <w:tr w:rsidR="00515DFA" w:rsidRPr="00812318" w14:paraId="3C3A349C" w14:textId="77777777" w:rsidTr="001A5B77">
        <w:trPr>
          <w:trHeight w:val="327"/>
        </w:trPr>
        <w:tc>
          <w:tcPr>
            <w:tcW w:w="1314" w:type="dxa"/>
            <w:tcBorders>
              <w:top w:val="single" w:sz="4" w:space="0" w:color="auto"/>
              <w:left w:val="nil"/>
              <w:bottom w:val="single" w:sz="4" w:space="0" w:color="auto"/>
              <w:right w:val="nil"/>
            </w:tcBorders>
            <w:shd w:val="clear" w:color="auto" w:fill="00B0F0"/>
            <w:noWrap/>
            <w:vAlign w:val="center"/>
            <w:hideMark/>
          </w:tcPr>
          <w:p w14:paraId="13662A2D"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Date</w:t>
            </w:r>
          </w:p>
        </w:tc>
        <w:tc>
          <w:tcPr>
            <w:tcW w:w="1293" w:type="dxa"/>
            <w:tcBorders>
              <w:top w:val="single" w:sz="4" w:space="0" w:color="auto"/>
              <w:left w:val="nil"/>
              <w:bottom w:val="single" w:sz="4" w:space="0" w:color="auto"/>
              <w:right w:val="nil"/>
            </w:tcBorders>
            <w:shd w:val="clear" w:color="auto" w:fill="00B0F0"/>
            <w:noWrap/>
            <w:vAlign w:val="center"/>
            <w:hideMark/>
          </w:tcPr>
          <w:p w14:paraId="516CB938"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USD/GHS</w:t>
            </w:r>
          </w:p>
        </w:tc>
        <w:tc>
          <w:tcPr>
            <w:tcW w:w="1314" w:type="dxa"/>
            <w:tcBorders>
              <w:top w:val="single" w:sz="4" w:space="0" w:color="auto"/>
              <w:left w:val="nil"/>
              <w:bottom w:val="single" w:sz="4" w:space="0" w:color="auto"/>
              <w:right w:val="nil"/>
            </w:tcBorders>
            <w:shd w:val="clear" w:color="auto" w:fill="00B0F0"/>
            <w:noWrap/>
            <w:vAlign w:val="center"/>
            <w:hideMark/>
          </w:tcPr>
          <w:p w14:paraId="530A6E03"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GHS/USD</w:t>
            </w:r>
          </w:p>
        </w:tc>
        <w:tc>
          <w:tcPr>
            <w:tcW w:w="1396" w:type="dxa"/>
            <w:tcBorders>
              <w:top w:val="single" w:sz="4" w:space="0" w:color="auto"/>
              <w:left w:val="nil"/>
              <w:bottom w:val="single" w:sz="4" w:space="0" w:color="auto"/>
              <w:right w:val="nil"/>
            </w:tcBorders>
            <w:shd w:val="clear" w:color="auto" w:fill="00B0F0"/>
            <w:noWrap/>
            <w:vAlign w:val="center"/>
            <w:hideMark/>
          </w:tcPr>
          <w:p w14:paraId="522B4CAB"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 Change</w:t>
            </w:r>
          </w:p>
        </w:tc>
        <w:tc>
          <w:tcPr>
            <w:tcW w:w="2362" w:type="dxa"/>
            <w:tcBorders>
              <w:top w:val="single" w:sz="4" w:space="0" w:color="auto"/>
              <w:left w:val="nil"/>
              <w:bottom w:val="single" w:sz="4" w:space="0" w:color="auto"/>
              <w:right w:val="nil"/>
            </w:tcBorders>
            <w:shd w:val="clear" w:color="auto" w:fill="00B0F0"/>
            <w:noWrap/>
            <w:vAlign w:val="center"/>
            <w:hideMark/>
          </w:tcPr>
          <w:p w14:paraId="62292552"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USD Equivalence*</w:t>
            </w:r>
          </w:p>
        </w:tc>
        <w:tc>
          <w:tcPr>
            <w:tcW w:w="1581" w:type="dxa"/>
            <w:tcBorders>
              <w:top w:val="single" w:sz="4" w:space="0" w:color="auto"/>
              <w:left w:val="nil"/>
              <w:bottom w:val="single" w:sz="4" w:space="0" w:color="auto"/>
              <w:right w:val="nil"/>
            </w:tcBorders>
            <w:shd w:val="clear" w:color="auto" w:fill="00B0F0"/>
            <w:noWrap/>
            <w:vAlign w:val="center"/>
            <w:hideMark/>
          </w:tcPr>
          <w:p w14:paraId="5F899587"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Gain(Loss)**</w:t>
            </w:r>
          </w:p>
        </w:tc>
      </w:tr>
      <w:tr w:rsidR="00515DFA" w:rsidRPr="00812318" w14:paraId="684CDB40" w14:textId="77777777" w:rsidTr="001A5B77">
        <w:trPr>
          <w:trHeight w:val="310"/>
        </w:trPr>
        <w:tc>
          <w:tcPr>
            <w:tcW w:w="1314" w:type="dxa"/>
            <w:tcBorders>
              <w:top w:val="nil"/>
              <w:left w:val="nil"/>
              <w:bottom w:val="nil"/>
              <w:right w:val="nil"/>
            </w:tcBorders>
            <w:shd w:val="clear" w:color="auto" w:fill="auto"/>
            <w:noWrap/>
            <w:vAlign w:val="center"/>
            <w:hideMark/>
          </w:tcPr>
          <w:p w14:paraId="200112F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3/23/2020</w:t>
            </w:r>
          </w:p>
        </w:tc>
        <w:tc>
          <w:tcPr>
            <w:tcW w:w="1293" w:type="dxa"/>
            <w:tcBorders>
              <w:top w:val="nil"/>
              <w:left w:val="nil"/>
              <w:bottom w:val="nil"/>
              <w:right w:val="nil"/>
            </w:tcBorders>
            <w:shd w:val="clear" w:color="auto" w:fill="auto"/>
            <w:noWrap/>
            <w:vAlign w:val="center"/>
            <w:hideMark/>
          </w:tcPr>
          <w:p w14:paraId="6441AD2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5.65</w:t>
            </w:r>
          </w:p>
        </w:tc>
        <w:tc>
          <w:tcPr>
            <w:tcW w:w="1314" w:type="dxa"/>
            <w:tcBorders>
              <w:top w:val="nil"/>
              <w:left w:val="nil"/>
              <w:bottom w:val="nil"/>
              <w:right w:val="nil"/>
            </w:tcBorders>
            <w:shd w:val="clear" w:color="auto" w:fill="auto"/>
            <w:noWrap/>
            <w:vAlign w:val="center"/>
            <w:hideMark/>
          </w:tcPr>
          <w:p w14:paraId="469D859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0.17699</w:t>
            </w:r>
          </w:p>
        </w:tc>
        <w:tc>
          <w:tcPr>
            <w:tcW w:w="1396" w:type="dxa"/>
            <w:tcBorders>
              <w:top w:val="nil"/>
              <w:left w:val="nil"/>
              <w:bottom w:val="nil"/>
              <w:right w:val="nil"/>
            </w:tcBorders>
            <w:shd w:val="clear" w:color="auto" w:fill="auto"/>
            <w:noWrap/>
            <w:vAlign w:val="center"/>
            <w:hideMark/>
          </w:tcPr>
          <w:p w14:paraId="2419ECEF"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N/A</w:t>
            </w:r>
          </w:p>
        </w:tc>
        <w:tc>
          <w:tcPr>
            <w:tcW w:w="2362" w:type="dxa"/>
            <w:tcBorders>
              <w:top w:val="nil"/>
              <w:left w:val="nil"/>
              <w:bottom w:val="nil"/>
              <w:right w:val="nil"/>
            </w:tcBorders>
            <w:shd w:val="clear" w:color="auto" w:fill="auto"/>
            <w:noWrap/>
            <w:vAlign w:val="center"/>
            <w:hideMark/>
          </w:tcPr>
          <w:p w14:paraId="11A35DD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$1,000,000.00</w:t>
            </w:r>
          </w:p>
        </w:tc>
        <w:tc>
          <w:tcPr>
            <w:tcW w:w="1581" w:type="dxa"/>
            <w:tcBorders>
              <w:top w:val="nil"/>
              <w:left w:val="nil"/>
              <w:bottom w:val="nil"/>
              <w:right w:val="nil"/>
            </w:tcBorders>
            <w:shd w:val="clear" w:color="auto" w:fill="auto"/>
            <w:noWrap/>
            <w:vAlign w:val="center"/>
            <w:hideMark/>
          </w:tcPr>
          <w:p w14:paraId="435328B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$0.00</w:t>
            </w:r>
          </w:p>
        </w:tc>
      </w:tr>
      <w:tr w:rsidR="00515DFA" w:rsidRPr="00812318" w14:paraId="0B5A2597" w14:textId="77777777" w:rsidTr="001A5B77">
        <w:trPr>
          <w:trHeight w:val="310"/>
        </w:trPr>
        <w:tc>
          <w:tcPr>
            <w:tcW w:w="1314" w:type="dxa"/>
            <w:tcBorders>
              <w:top w:val="nil"/>
              <w:left w:val="nil"/>
              <w:bottom w:val="nil"/>
              <w:right w:val="nil"/>
            </w:tcBorders>
            <w:shd w:val="clear" w:color="auto" w:fill="auto"/>
            <w:noWrap/>
            <w:vAlign w:val="center"/>
            <w:hideMark/>
          </w:tcPr>
          <w:p w14:paraId="678414FE"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3/24/2020</w:t>
            </w:r>
          </w:p>
        </w:tc>
        <w:tc>
          <w:tcPr>
            <w:tcW w:w="1293" w:type="dxa"/>
            <w:tcBorders>
              <w:top w:val="nil"/>
              <w:left w:val="nil"/>
              <w:bottom w:val="nil"/>
              <w:right w:val="nil"/>
            </w:tcBorders>
            <w:shd w:val="clear" w:color="auto" w:fill="auto"/>
            <w:noWrap/>
            <w:vAlign w:val="center"/>
            <w:hideMark/>
          </w:tcPr>
          <w:p w14:paraId="51263FF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5.6729</w:t>
            </w:r>
          </w:p>
        </w:tc>
        <w:tc>
          <w:tcPr>
            <w:tcW w:w="1314" w:type="dxa"/>
            <w:tcBorders>
              <w:top w:val="nil"/>
              <w:left w:val="nil"/>
              <w:bottom w:val="nil"/>
              <w:right w:val="nil"/>
            </w:tcBorders>
            <w:shd w:val="clear" w:color="auto" w:fill="auto"/>
            <w:noWrap/>
            <w:vAlign w:val="center"/>
            <w:hideMark/>
          </w:tcPr>
          <w:p w14:paraId="4370016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0.17628</w:t>
            </w:r>
          </w:p>
        </w:tc>
        <w:tc>
          <w:tcPr>
            <w:tcW w:w="1396" w:type="dxa"/>
            <w:tcBorders>
              <w:top w:val="nil"/>
              <w:left w:val="nil"/>
              <w:bottom w:val="nil"/>
              <w:right w:val="nil"/>
            </w:tcBorders>
            <w:shd w:val="clear" w:color="auto" w:fill="auto"/>
            <w:noWrap/>
            <w:vAlign w:val="center"/>
            <w:hideMark/>
          </w:tcPr>
          <w:p w14:paraId="3AF39C9F"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0.40</w:t>
            </w:r>
          </w:p>
        </w:tc>
        <w:tc>
          <w:tcPr>
            <w:tcW w:w="2362" w:type="dxa"/>
            <w:tcBorders>
              <w:top w:val="nil"/>
              <w:left w:val="nil"/>
              <w:bottom w:val="nil"/>
              <w:right w:val="nil"/>
            </w:tcBorders>
            <w:shd w:val="clear" w:color="auto" w:fill="auto"/>
            <w:noWrap/>
            <w:vAlign w:val="center"/>
            <w:hideMark/>
          </w:tcPr>
          <w:p w14:paraId="2ECC5A6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$995,963.26</w:t>
            </w:r>
          </w:p>
        </w:tc>
        <w:tc>
          <w:tcPr>
            <w:tcW w:w="1581" w:type="dxa"/>
            <w:tcBorders>
              <w:top w:val="nil"/>
              <w:left w:val="nil"/>
              <w:bottom w:val="nil"/>
              <w:right w:val="nil"/>
            </w:tcBorders>
            <w:shd w:val="clear" w:color="auto" w:fill="auto"/>
            <w:noWrap/>
            <w:vAlign w:val="center"/>
            <w:hideMark/>
          </w:tcPr>
          <w:p w14:paraId="70B5D93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-$4,036.74</w:t>
            </w:r>
          </w:p>
        </w:tc>
      </w:tr>
      <w:tr w:rsidR="00515DFA" w:rsidRPr="00812318" w14:paraId="3EA94E40" w14:textId="77777777" w:rsidTr="001A5B77">
        <w:trPr>
          <w:trHeight w:val="310"/>
        </w:trPr>
        <w:tc>
          <w:tcPr>
            <w:tcW w:w="1314" w:type="dxa"/>
            <w:tcBorders>
              <w:top w:val="nil"/>
              <w:left w:val="nil"/>
              <w:bottom w:val="nil"/>
              <w:right w:val="nil"/>
            </w:tcBorders>
            <w:shd w:val="clear" w:color="auto" w:fill="auto"/>
            <w:noWrap/>
            <w:vAlign w:val="center"/>
            <w:hideMark/>
          </w:tcPr>
          <w:p w14:paraId="1C60BDD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3/25/2020</w:t>
            </w:r>
          </w:p>
        </w:tc>
        <w:tc>
          <w:tcPr>
            <w:tcW w:w="1293" w:type="dxa"/>
            <w:tcBorders>
              <w:top w:val="nil"/>
              <w:left w:val="nil"/>
              <w:bottom w:val="nil"/>
              <w:right w:val="nil"/>
            </w:tcBorders>
            <w:shd w:val="clear" w:color="auto" w:fill="auto"/>
            <w:noWrap/>
            <w:vAlign w:val="center"/>
            <w:hideMark/>
          </w:tcPr>
          <w:p w14:paraId="465FAC7C"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5.75</w:t>
            </w:r>
          </w:p>
        </w:tc>
        <w:tc>
          <w:tcPr>
            <w:tcW w:w="1314" w:type="dxa"/>
            <w:tcBorders>
              <w:top w:val="nil"/>
              <w:left w:val="nil"/>
              <w:bottom w:val="nil"/>
              <w:right w:val="nil"/>
            </w:tcBorders>
            <w:shd w:val="clear" w:color="auto" w:fill="auto"/>
            <w:noWrap/>
            <w:vAlign w:val="center"/>
            <w:hideMark/>
          </w:tcPr>
          <w:p w14:paraId="5F68E08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0.17391</w:t>
            </w:r>
          </w:p>
        </w:tc>
        <w:tc>
          <w:tcPr>
            <w:tcW w:w="1396" w:type="dxa"/>
            <w:tcBorders>
              <w:top w:val="nil"/>
              <w:left w:val="nil"/>
              <w:bottom w:val="nil"/>
              <w:right w:val="nil"/>
            </w:tcBorders>
            <w:shd w:val="clear" w:color="auto" w:fill="auto"/>
            <w:noWrap/>
            <w:vAlign w:val="center"/>
            <w:hideMark/>
          </w:tcPr>
          <w:p w14:paraId="557B29FC"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1.34</w:t>
            </w:r>
          </w:p>
        </w:tc>
        <w:tc>
          <w:tcPr>
            <w:tcW w:w="2362" w:type="dxa"/>
            <w:tcBorders>
              <w:top w:val="nil"/>
              <w:left w:val="nil"/>
              <w:bottom w:val="nil"/>
              <w:right w:val="nil"/>
            </w:tcBorders>
            <w:shd w:val="clear" w:color="auto" w:fill="auto"/>
            <w:noWrap/>
            <w:vAlign w:val="center"/>
            <w:hideMark/>
          </w:tcPr>
          <w:p w14:paraId="71067B3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$982,608.70</w:t>
            </w:r>
          </w:p>
        </w:tc>
        <w:tc>
          <w:tcPr>
            <w:tcW w:w="1581" w:type="dxa"/>
            <w:tcBorders>
              <w:top w:val="nil"/>
              <w:left w:val="nil"/>
              <w:bottom w:val="nil"/>
              <w:right w:val="nil"/>
            </w:tcBorders>
            <w:shd w:val="clear" w:color="auto" w:fill="auto"/>
            <w:noWrap/>
            <w:vAlign w:val="center"/>
            <w:hideMark/>
          </w:tcPr>
          <w:p w14:paraId="20B0EE0E"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-$17,391.30</w:t>
            </w:r>
          </w:p>
        </w:tc>
      </w:tr>
      <w:tr w:rsidR="00515DFA" w:rsidRPr="00812318" w14:paraId="48269A27" w14:textId="77777777" w:rsidTr="001A5B77">
        <w:trPr>
          <w:trHeight w:val="310"/>
        </w:trPr>
        <w:tc>
          <w:tcPr>
            <w:tcW w:w="1314" w:type="dxa"/>
            <w:tcBorders>
              <w:top w:val="nil"/>
              <w:left w:val="nil"/>
              <w:bottom w:val="nil"/>
              <w:right w:val="nil"/>
            </w:tcBorders>
            <w:shd w:val="clear" w:color="auto" w:fill="auto"/>
            <w:noWrap/>
            <w:vAlign w:val="center"/>
            <w:hideMark/>
          </w:tcPr>
          <w:p w14:paraId="002BCBD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3/26/2020</w:t>
            </w:r>
          </w:p>
        </w:tc>
        <w:tc>
          <w:tcPr>
            <w:tcW w:w="1293" w:type="dxa"/>
            <w:tcBorders>
              <w:top w:val="nil"/>
              <w:left w:val="nil"/>
              <w:bottom w:val="nil"/>
              <w:right w:val="nil"/>
            </w:tcBorders>
            <w:shd w:val="clear" w:color="auto" w:fill="auto"/>
            <w:noWrap/>
            <w:vAlign w:val="center"/>
            <w:hideMark/>
          </w:tcPr>
          <w:p w14:paraId="2B36A6E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5.745</w:t>
            </w:r>
          </w:p>
        </w:tc>
        <w:tc>
          <w:tcPr>
            <w:tcW w:w="1314" w:type="dxa"/>
            <w:tcBorders>
              <w:top w:val="nil"/>
              <w:left w:val="nil"/>
              <w:bottom w:val="nil"/>
              <w:right w:val="nil"/>
            </w:tcBorders>
            <w:shd w:val="clear" w:color="auto" w:fill="auto"/>
            <w:noWrap/>
            <w:vAlign w:val="center"/>
            <w:hideMark/>
          </w:tcPr>
          <w:p w14:paraId="6AACE80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0.17406</w:t>
            </w:r>
          </w:p>
        </w:tc>
        <w:tc>
          <w:tcPr>
            <w:tcW w:w="1396" w:type="dxa"/>
            <w:tcBorders>
              <w:top w:val="nil"/>
              <w:left w:val="nil"/>
              <w:bottom w:val="nil"/>
              <w:right w:val="nil"/>
            </w:tcBorders>
            <w:shd w:val="clear" w:color="auto" w:fill="auto"/>
            <w:noWrap/>
            <w:vAlign w:val="center"/>
            <w:hideMark/>
          </w:tcPr>
          <w:p w14:paraId="064EE23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-0.09</w:t>
            </w:r>
          </w:p>
        </w:tc>
        <w:tc>
          <w:tcPr>
            <w:tcW w:w="2362" w:type="dxa"/>
            <w:tcBorders>
              <w:top w:val="nil"/>
              <w:left w:val="nil"/>
              <w:bottom w:val="nil"/>
              <w:right w:val="nil"/>
            </w:tcBorders>
            <w:shd w:val="clear" w:color="auto" w:fill="auto"/>
            <w:noWrap/>
            <w:vAlign w:val="center"/>
            <w:hideMark/>
          </w:tcPr>
          <w:p w14:paraId="1B4900E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$983,463.88</w:t>
            </w:r>
          </w:p>
        </w:tc>
        <w:tc>
          <w:tcPr>
            <w:tcW w:w="1581" w:type="dxa"/>
            <w:tcBorders>
              <w:top w:val="nil"/>
              <w:left w:val="nil"/>
              <w:bottom w:val="nil"/>
              <w:right w:val="nil"/>
            </w:tcBorders>
            <w:shd w:val="clear" w:color="auto" w:fill="auto"/>
            <w:noWrap/>
            <w:vAlign w:val="center"/>
            <w:hideMark/>
          </w:tcPr>
          <w:p w14:paraId="5AB40B6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-$16,536.12</w:t>
            </w:r>
          </w:p>
        </w:tc>
      </w:tr>
      <w:tr w:rsidR="00515DFA" w:rsidRPr="00812318" w14:paraId="424DC5C6" w14:textId="77777777" w:rsidTr="001A5B77">
        <w:trPr>
          <w:trHeight w:val="310"/>
        </w:trPr>
        <w:tc>
          <w:tcPr>
            <w:tcW w:w="1314" w:type="dxa"/>
            <w:tcBorders>
              <w:top w:val="nil"/>
              <w:left w:val="nil"/>
              <w:bottom w:val="nil"/>
              <w:right w:val="nil"/>
            </w:tcBorders>
            <w:shd w:val="clear" w:color="auto" w:fill="auto"/>
            <w:noWrap/>
            <w:vAlign w:val="center"/>
            <w:hideMark/>
          </w:tcPr>
          <w:p w14:paraId="0BF4B04C"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3/27/2020</w:t>
            </w:r>
          </w:p>
        </w:tc>
        <w:tc>
          <w:tcPr>
            <w:tcW w:w="1293" w:type="dxa"/>
            <w:tcBorders>
              <w:top w:val="nil"/>
              <w:left w:val="nil"/>
              <w:bottom w:val="nil"/>
              <w:right w:val="nil"/>
            </w:tcBorders>
            <w:shd w:val="clear" w:color="auto" w:fill="auto"/>
            <w:noWrap/>
            <w:vAlign w:val="center"/>
            <w:hideMark/>
          </w:tcPr>
          <w:p w14:paraId="451C1D3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5.755</w:t>
            </w:r>
          </w:p>
        </w:tc>
        <w:tc>
          <w:tcPr>
            <w:tcW w:w="1314" w:type="dxa"/>
            <w:tcBorders>
              <w:top w:val="nil"/>
              <w:left w:val="nil"/>
              <w:bottom w:val="nil"/>
              <w:right w:val="nil"/>
            </w:tcBorders>
            <w:shd w:val="clear" w:color="auto" w:fill="auto"/>
            <w:noWrap/>
            <w:vAlign w:val="center"/>
            <w:hideMark/>
          </w:tcPr>
          <w:p w14:paraId="6298A28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0.17376</w:t>
            </w:r>
          </w:p>
        </w:tc>
        <w:tc>
          <w:tcPr>
            <w:tcW w:w="1396" w:type="dxa"/>
            <w:tcBorders>
              <w:top w:val="nil"/>
              <w:left w:val="nil"/>
              <w:bottom w:val="nil"/>
              <w:right w:val="nil"/>
            </w:tcBorders>
            <w:shd w:val="clear" w:color="auto" w:fill="auto"/>
            <w:noWrap/>
            <w:vAlign w:val="center"/>
            <w:hideMark/>
          </w:tcPr>
          <w:p w14:paraId="149F60E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w:t>
            </w:r>
          </w:p>
        </w:tc>
        <w:tc>
          <w:tcPr>
            <w:tcW w:w="2362" w:type="dxa"/>
            <w:tcBorders>
              <w:top w:val="nil"/>
              <w:left w:val="nil"/>
              <w:bottom w:val="nil"/>
              <w:right w:val="nil"/>
            </w:tcBorders>
            <w:shd w:val="clear" w:color="auto" w:fill="auto"/>
            <w:noWrap/>
            <w:vAlign w:val="center"/>
            <w:hideMark/>
          </w:tcPr>
          <w:p w14:paraId="4154FAD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$981,755.00</w:t>
            </w:r>
          </w:p>
        </w:tc>
        <w:tc>
          <w:tcPr>
            <w:tcW w:w="1581" w:type="dxa"/>
            <w:tcBorders>
              <w:top w:val="nil"/>
              <w:left w:val="nil"/>
              <w:bottom w:val="nil"/>
              <w:right w:val="nil"/>
            </w:tcBorders>
            <w:shd w:val="clear" w:color="auto" w:fill="auto"/>
            <w:noWrap/>
            <w:vAlign w:val="center"/>
            <w:hideMark/>
          </w:tcPr>
          <w:p w14:paraId="74281F8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-$18,245.00</w:t>
            </w:r>
          </w:p>
        </w:tc>
      </w:tr>
      <w:tr w:rsidR="00515DFA" w:rsidRPr="00812318" w14:paraId="542C90FE" w14:textId="77777777" w:rsidTr="001A5B77">
        <w:trPr>
          <w:trHeight w:val="310"/>
        </w:trPr>
        <w:tc>
          <w:tcPr>
            <w:tcW w:w="1314" w:type="dxa"/>
            <w:tcBorders>
              <w:top w:val="nil"/>
              <w:left w:val="nil"/>
              <w:bottom w:val="nil"/>
              <w:right w:val="nil"/>
            </w:tcBorders>
            <w:shd w:val="clear" w:color="auto" w:fill="auto"/>
            <w:noWrap/>
            <w:vAlign w:val="center"/>
            <w:hideMark/>
          </w:tcPr>
          <w:p w14:paraId="3CA9070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3/30/2020</w:t>
            </w:r>
          </w:p>
        </w:tc>
        <w:tc>
          <w:tcPr>
            <w:tcW w:w="1293" w:type="dxa"/>
            <w:tcBorders>
              <w:top w:val="nil"/>
              <w:left w:val="nil"/>
              <w:bottom w:val="nil"/>
              <w:right w:val="nil"/>
            </w:tcBorders>
            <w:shd w:val="clear" w:color="auto" w:fill="auto"/>
            <w:noWrap/>
            <w:vAlign w:val="center"/>
            <w:hideMark/>
          </w:tcPr>
          <w:p w14:paraId="3B7FB06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5.755</w:t>
            </w:r>
          </w:p>
        </w:tc>
        <w:tc>
          <w:tcPr>
            <w:tcW w:w="1314" w:type="dxa"/>
            <w:tcBorders>
              <w:top w:val="nil"/>
              <w:left w:val="nil"/>
              <w:bottom w:val="nil"/>
              <w:right w:val="nil"/>
            </w:tcBorders>
            <w:shd w:val="clear" w:color="auto" w:fill="auto"/>
            <w:noWrap/>
            <w:vAlign w:val="center"/>
            <w:hideMark/>
          </w:tcPr>
          <w:p w14:paraId="2C9F018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0.17376</w:t>
            </w:r>
          </w:p>
        </w:tc>
        <w:tc>
          <w:tcPr>
            <w:tcW w:w="1396" w:type="dxa"/>
            <w:tcBorders>
              <w:top w:val="nil"/>
              <w:left w:val="nil"/>
              <w:bottom w:val="nil"/>
              <w:right w:val="nil"/>
            </w:tcBorders>
            <w:shd w:val="clear" w:color="auto" w:fill="auto"/>
            <w:noWrap/>
            <w:vAlign w:val="center"/>
            <w:hideMark/>
          </w:tcPr>
          <w:p w14:paraId="6B09CAD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0.00</w:t>
            </w:r>
          </w:p>
        </w:tc>
        <w:tc>
          <w:tcPr>
            <w:tcW w:w="2362" w:type="dxa"/>
            <w:tcBorders>
              <w:top w:val="nil"/>
              <w:left w:val="nil"/>
              <w:bottom w:val="nil"/>
              <w:right w:val="nil"/>
            </w:tcBorders>
            <w:shd w:val="clear" w:color="auto" w:fill="auto"/>
            <w:noWrap/>
            <w:vAlign w:val="center"/>
            <w:hideMark/>
          </w:tcPr>
          <w:p w14:paraId="71B87D0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$981,755.00</w:t>
            </w:r>
          </w:p>
        </w:tc>
        <w:tc>
          <w:tcPr>
            <w:tcW w:w="1581" w:type="dxa"/>
            <w:tcBorders>
              <w:top w:val="nil"/>
              <w:left w:val="nil"/>
              <w:bottom w:val="nil"/>
              <w:right w:val="nil"/>
            </w:tcBorders>
            <w:shd w:val="clear" w:color="auto" w:fill="auto"/>
            <w:noWrap/>
            <w:vAlign w:val="center"/>
            <w:hideMark/>
          </w:tcPr>
          <w:p w14:paraId="4DA1D31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-$18,245.00</w:t>
            </w:r>
          </w:p>
        </w:tc>
      </w:tr>
      <w:tr w:rsidR="00515DFA" w:rsidRPr="00812318" w14:paraId="7224BEF7" w14:textId="77777777" w:rsidTr="001A5B77">
        <w:trPr>
          <w:trHeight w:val="310"/>
        </w:trPr>
        <w:tc>
          <w:tcPr>
            <w:tcW w:w="1314" w:type="dxa"/>
            <w:tcBorders>
              <w:top w:val="nil"/>
              <w:left w:val="nil"/>
              <w:bottom w:val="nil"/>
              <w:right w:val="nil"/>
            </w:tcBorders>
            <w:shd w:val="clear" w:color="auto" w:fill="auto"/>
            <w:noWrap/>
            <w:vAlign w:val="center"/>
            <w:hideMark/>
          </w:tcPr>
          <w:p w14:paraId="4CC3467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3/31/2020</w:t>
            </w:r>
          </w:p>
        </w:tc>
        <w:tc>
          <w:tcPr>
            <w:tcW w:w="1293" w:type="dxa"/>
            <w:tcBorders>
              <w:top w:val="nil"/>
              <w:left w:val="nil"/>
              <w:bottom w:val="nil"/>
              <w:right w:val="nil"/>
            </w:tcBorders>
            <w:shd w:val="clear" w:color="auto" w:fill="auto"/>
            <w:noWrap/>
            <w:vAlign w:val="center"/>
            <w:hideMark/>
          </w:tcPr>
          <w:p w14:paraId="7A7386D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5.77</w:t>
            </w:r>
          </w:p>
        </w:tc>
        <w:tc>
          <w:tcPr>
            <w:tcW w:w="1314" w:type="dxa"/>
            <w:tcBorders>
              <w:top w:val="nil"/>
              <w:left w:val="nil"/>
              <w:bottom w:val="nil"/>
              <w:right w:val="nil"/>
            </w:tcBorders>
            <w:shd w:val="clear" w:color="auto" w:fill="auto"/>
            <w:noWrap/>
            <w:vAlign w:val="center"/>
            <w:hideMark/>
          </w:tcPr>
          <w:p w14:paraId="3D09D69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0.17331</w:t>
            </w:r>
          </w:p>
        </w:tc>
        <w:tc>
          <w:tcPr>
            <w:tcW w:w="1396" w:type="dxa"/>
            <w:tcBorders>
              <w:top w:val="nil"/>
              <w:left w:val="nil"/>
              <w:bottom w:val="nil"/>
              <w:right w:val="nil"/>
            </w:tcBorders>
            <w:shd w:val="clear" w:color="auto" w:fill="auto"/>
            <w:noWrap/>
            <w:vAlign w:val="center"/>
            <w:hideMark/>
          </w:tcPr>
          <w:p w14:paraId="3D7AB7C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0.26</w:t>
            </w:r>
          </w:p>
        </w:tc>
        <w:tc>
          <w:tcPr>
            <w:tcW w:w="2362" w:type="dxa"/>
            <w:tcBorders>
              <w:top w:val="nil"/>
              <w:left w:val="nil"/>
              <w:bottom w:val="nil"/>
              <w:right w:val="nil"/>
            </w:tcBorders>
            <w:shd w:val="clear" w:color="auto" w:fill="auto"/>
            <w:noWrap/>
            <w:vAlign w:val="center"/>
            <w:hideMark/>
          </w:tcPr>
          <w:p w14:paraId="27E8FB0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$979,202.77</w:t>
            </w:r>
          </w:p>
        </w:tc>
        <w:tc>
          <w:tcPr>
            <w:tcW w:w="1581" w:type="dxa"/>
            <w:tcBorders>
              <w:top w:val="nil"/>
              <w:left w:val="nil"/>
              <w:bottom w:val="nil"/>
              <w:right w:val="nil"/>
            </w:tcBorders>
            <w:shd w:val="clear" w:color="auto" w:fill="auto"/>
            <w:noWrap/>
            <w:vAlign w:val="center"/>
            <w:hideMark/>
          </w:tcPr>
          <w:p w14:paraId="2FF2013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-$20,797.23</w:t>
            </w:r>
          </w:p>
        </w:tc>
      </w:tr>
      <w:tr w:rsidR="00515DFA" w:rsidRPr="00812318" w14:paraId="7BD96F2A" w14:textId="77777777" w:rsidTr="001A5B77">
        <w:trPr>
          <w:trHeight w:val="310"/>
        </w:trPr>
        <w:tc>
          <w:tcPr>
            <w:tcW w:w="1314" w:type="dxa"/>
            <w:tcBorders>
              <w:top w:val="nil"/>
              <w:left w:val="nil"/>
              <w:bottom w:val="nil"/>
              <w:right w:val="nil"/>
            </w:tcBorders>
            <w:shd w:val="clear" w:color="auto" w:fill="auto"/>
            <w:noWrap/>
            <w:vAlign w:val="center"/>
            <w:hideMark/>
          </w:tcPr>
          <w:p w14:paraId="06BF07D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4/1/2020</w:t>
            </w:r>
          </w:p>
        </w:tc>
        <w:tc>
          <w:tcPr>
            <w:tcW w:w="1293" w:type="dxa"/>
            <w:tcBorders>
              <w:top w:val="nil"/>
              <w:left w:val="nil"/>
              <w:bottom w:val="nil"/>
              <w:right w:val="nil"/>
            </w:tcBorders>
            <w:shd w:val="clear" w:color="auto" w:fill="auto"/>
            <w:noWrap/>
            <w:vAlign w:val="center"/>
            <w:hideMark/>
          </w:tcPr>
          <w:p w14:paraId="699C6B3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5.7736</w:t>
            </w:r>
          </w:p>
        </w:tc>
        <w:tc>
          <w:tcPr>
            <w:tcW w:w="1314" w:type="dxa"/>
            <w:tcBorders>
              <w:top w:val="nil"/>
              <w:left w:val="nil"/>
              <w:bottom w:val="nil"/>
              <w:right w:val="nil"/>
            </w:tcBorders>
            <w:shd w:val="clear" w:color="auto" w:fill="auto"/>
            <w:noWrap/>
            <w:vAlign w:val="center"/>
            <w:hideMark/>
          </w:tcPr>
          <w:p w14:paraId="30C9177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0.17320</w:t>
            </w:r>
          </w:p>
        </w:tc>
        <w:tc>
          <w:tcPr>
            <w:tcW w:w="1396" w:type="dxa"/>
            <w:tcBorders>
              <w:top w:val="nil"/>
              <w:left w:val="nil"/>
              <w:bottom w:val="nil"/>
              <w:right w:val="nil"/>
            </w:tcBorders>
            <w:shd w:val="clear" w:color="auto" w:fill="auto"/>
            <w:noWrap/>
            <w:vAlign w:val="center"/>
            <w:hideMark/>
          </w:tcPr>
          <w:p w14:paraId="2D95C97C"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0.06</w:t>
            </w:r>
          </w:p>
        </w:tc>
        <w:tc>
          <w:tcPr>
            <w:tcW w:w="2362" w:type="dxa"/>
            <w:tcBorders>
              <w:top w:val="nil"/>
              <w:left w:val="nil"/>
              <w:bottom w:val="nil"/>
              <w:right w:val="nil"/>
            </w:tcBorders>
            <w:shd w:val="clear" w:color="auto" w:fill="auto"/>
            <w:noWrap/>
            <w:vAlign w:val="center"/>
            <w:hideMark/>
          </w:tcPr>
          <w:p w14:paraId="665F55B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$978,592.21</w:t>
            </w:r>
          </w:p>
        </w:tc>
        <w:tc>
          <w:tcPr>
            <w:tcW w:w="1581" w:type="dxa"/>
            <w:tcBorders>
              <w:top w:val="nil"/>
              <w:left w:val="nil"/>
              <w:bottom w:val="nil"/>
              <w:right w:val="nil"/>
            </w:tcBorders>
            <w:shd w:val="clear" w:color="auto" w:fill="auto"/>
            <w:noWrap/>
            <w:vAlign w:val="center"/>
            <w:hideMark/>
          </w:tcPr>
          <w:p w14:paraId="7267314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-$21,407.79</w:t>
            </w:r>
          </w:p>
        </w:tc>
      </w:tr>
      <w:tr w:rsidR="00515DFA" w:rsidRPr="00812318" w14:paraId="13169225" w14:textId="77777777" w:rsidTr="001A5B77">
        <w:trPr>
          <w:trHeight w:val="310"/>
        </w:trPr>
        <w:tc>
          <w:tcPr>
            <w:tcW w:w="1314" w:type="dxa"/>
            <w:tcBorders>
              <w:top w:val="nil"/>
              <w:left w:val="nil"/>
              <w:bottom w:val="nil"/>
              <w:right w:val="nil"/>
            </w:tcBorders>
            <w:shd w:val="clear" w:color="auto" w:fill="auto"/>
            <w:noWrap/>
            <w:vAlign w:val="center"/>
            <w:hideMark/>
          </w:tcPr>
          <w:p w14:paraId="5F8A9578"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4/2/2020</w:t>
            </w:r>
          </w:p>
        </w:tc>
        <w:tc>
          <w:tcPr>
            <w:tcW w:w="1293" w:type="dxa"/>
            <w:tcBorders>
              <w:top w:val="nil"/>
              <w:left w:val="nil"/>
              <w:bottom w:val="nil"/>
              <w:right w:val="nil"/>
            </w:tcBorders>
            <w:shd w:val="clear" w:color="auto" w:fill="auto"/>
            <w:noWrap/>
            <w:vAlign w:val="center"/>
            <w:hideMark/>
          </w:tcPr>
          <w:p w14:paraId="6294F62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5.765</w:t>
            </w:r>
          </w:p>
        </w:tc>
        <w:tc>
          <w:tcPr>
            <w:tcW w:w="1314" w:type="dxa"/>
            <w:tcBorders>
              <w:top w:val="nil"/>
              <w:left w:val="nil"/>
              <w:bottom w:val="nil"/>
              <w:right w:val="nil"/>
            </w:tcBorders>
            <w:shd w:val="clear" w:color="auto" w:fill="auto"/>
            <w:noWrap/>
            <w:vAlign w:val="center"/>
            <w:hideMark/>
          </w:tcPr>
          <w:p w14:paraId="07B35284"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0.17346</w:t>
            </w:r>
          </w:p>
        </w:tc>
        <w:tc>
          <w:tcPr>
            <w:tcW w:w="1396" w:type="dxa"/>
            <w:tcBorders>
              <w:top w:val="nil"/>
              <w:left w:val="nil"/>
              <w:bottom w:val="nil"/>
              <w:right w:val="nil"/>
            </w:tcBorders>
            <w:shd w:val="clear" w:color="auto" w:fill="auto"/>
            <w:noWrap/>
            <w:vAlign w:val="center"/>
            <w:hideMark/>
          </w:tcPr>
          <w:p w14:paraId="05715578"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-0.15</w:t>
            </w:r>
          </w:p>
        </w:tc>
        <w:tc>
          <w:tcPr>
            <w:tcW w:w="2362" w:type="dxa"/>
            <w:tcBorders>
              <w:top w:val="nil"/>
              <w:left w:val="nil"/>
              <w:bottom w:val="nil"/>
              <w:right w:val="nil"/>
            </w:tcBorders>
            <w:shd w:val="clear" w:color="auto" w:fill="auto"/>
            <w:noWrap/>
            <w:vAlign w:val="center"/>
            <w:hideMark/>
          </w:tcPr>
          <w:p w14:paraId="67E882F4"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$980,052.04</w:t>
            </w:r>
          </w:p>
        </w:tc>
        <w:tc>
          <w:tcPr>
            <w:tcW w:w="1581" w:type="dxa"/>
            <w:tcBorders>
              <w:top w:val="nil"/>
              <w:left w:val="nil"/>
              <w:bottom w:val="nil"/>
              <w:right w:val="nil"/>
            </w:tcBorders>
            <w:shd w:val="clear" w:color="auto" w:fill="auto"/>
            <w:noWrap/>
            <w:vAlign w:val="center"/>
            <w:hideMark/>
          </w:tcPr>
          <w:p w14:paraId="5DF4CAD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-$19,947.96</w:t>
            </w:r>
          </w:p>
        </w:tc>
      </w:tr>
      <w:tr w:rsidR="00515DFA" w:rsidRPr="00812318" w14:paraId="3D3C9645" w14:textId="77777777" w:rsidTr="001A5B77">
        <w:trPr>
          <w:trHeight w:val="310"/>
        </w:trPr>
        <w:tc>
          <w:tcPr>
            <w:tcW w:w="1314" w:type="dxa"/>
            <w:tcBorders>
              <w:top w:val="nil"/>
              <w:left w:val="nil"/>
              <w:bottom w:val="nil"/>
              <w:right w:val="nil"/>
            </w:tcBorders>
            <w:shd w:val="clear" w:color="auto" w:fill="auto"/>
            <w:noWrap/>
            <w:vAlign w:val="center"/>
            <w:hideMark/>
          </w:tcPr>
          <w:p w14:paraId="63F1487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4/3/2020</w:t>
            </w:r>
          </w:p>
        </w:tc>
        <w:tc>
          <w:tcPr>
            <w:tcW w:w="1293" w:type="dxa"/>
            <w:tcBorders>
              <w:top w:val="nil"/>
              <w:left w:val="nil"/>
              <w:bottom w:val="nil"/>
              <w:right w:val="nil"/>
            </w:tcBorders>
            <w:shd w:val="clear" w:color="auto" w:fill="auto"/>
            <w:noWrap/>
            <w:vAlign w:val="center"/>
            <w:hideMark/>
          </w:tcPr>
          <w:p w14:paraId="3A75F1D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5.775</w:t>
            </w:r>
          </w:p>
        </w:tc>
        <w:tc>
          <w:tcPr>
            <w:tcW w:w="1314" w:type="dxa"/>
            <w:tcBorders>
              <w:top w:val="nil"/>
              <w:left w:val="nil"/>
              <w:bottom w:val="nil"/>
              <w:right w:val="nil"/>
            </w:tcBorders>
            <w:shd w:val="clear" w:color="auto" w:fill="auto"/>
            <w:noWrap/>
            <w:vAlign w:val="center"/>
            <w:hideMark/>
          </w:tcPr>
          <w:p w14:paraId="59CAD10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0.17316</w:t>
            </w:r>
          </w:p>
        </w:tc>
        <w:tc>
          <w:tcPr>
            <w:tcW w:w="1396" w:type="dxa"/>
            <w:tcBorders>
              <w:top w:val="nil"/>
              <w:left w:val="nil"/>
              <w:bottom w:val="nil"/>
              <w:right w:val="nil"/>
            </w:tcBorders>
            <w:shd w:val="clear" w:color="auto" w:fill="auto"/>
            <w:noWrap/>
            <w:vAlign w:val="center"/>
            <w:hideMark/>
          </w:tcPr>
          <w:p w14:paraId="54C25EF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w:t>
            </w:r>
          </w:p>
        </w:tc>
        <w:tc>
          <w:tcPr>
            <w:tcW w:w="2362" w:type="dxa"/>
            <w:tcBorders>
              <w:top w:val="nil"/>
              <w:left w:val="nil"/>
              <w:bottom w:val="nil"/>
              <w:right w:val="nil"/>
            </w:tcBorders>
            <w:shd w:val="clear" w:color="auto" w:fill="auto"/>
            <w:noWrap/>
            <w:vAlign w:val="center"/>
            <w:hideMark/>
          </w:tcPr>
          <w:p w14:paraId="3FC2575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$978,354.98</w:t>
            </w:r>
          </w:p>
        </w:tc>
        <w:tc>
          <w:tcPr>
            <w:tcW w:w="1581" w:type="dxa"/>
            <w:tcBorders>
              <w:top w:val="nil"/>
              <w:left w:val="nil"/>
              <w:bottom w:val="nil"/>
              <w:right w:val="nil"/>
            </w:tcBorders>
            <w:shd w:val="clear" w:color="auto" w:fill="auto"/>
            <w:noWrap/>
            <w:vAlign w:val="center"/>
            <w:hideMark/>
          </w:tcPr>
          <w:p w14:paraId="1D9D792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-$21,645.02</w:t>
            </w:r>
          </w:p>
        </w:tc>
      </w:tr>
      <w:tr w:rsidR="00515DFA" w:rsidRPr="00812318" w14:paraId="72A5BE8C" w14:textId="77777777" w:rsidTr="001A5B77">
        <w:trPr>
          <w:trHeight w:val="310"/>
        </w:trPr>
        <w:tc>
          <w:tcPr>
            <w:tcW w:w="1314" w:type="dxa"/>
            <w:tcBorders>
              <w:top w:val="nil"/>
              <w:left w:val="nil"/>
              <w:bottom w:val="nil"/>
              <w:right w:val="nil"/>
            </w:tcBorders>
            <w:shd w:val="clear" w:color="auto" w:fill="auto"/>
            <w:noWrap/>
            <w:vAlign w:val="center"/>
            <w:hideMark/>
          </w:tcPr>
          <w:p w14:paraId="585DA02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4/6/2020</w:t>
            </w:r>
          </w:p>
        </w:tc>
        <w:tc>
          <w:tcPr>
            <w:tcW w:w="1293" w:type="dxa"/>
            <w:tcBorders>
              <w:top w:val="nil"/>
              <w:left w:val="nil"/>
              <w:bottom w:val="nil"/>
              <w:right w:val="nil"/>
            </w:tcBorders>
            <w:shd w:val="clear" w:color="auto" w:fill="auto"/>
            <w:noWrap/>
            <w:vAlign w:val="center"/>
            <w:hideMark/>
          </w:tcPr>
          <w:p w14:paraId="1AD5856F"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5.815</w:t>
            </w:r>
          </w:p>
        </w:tc>
        <w:tc>
          <w:tcPr>
            <w:tcW w:w="1314" w:type="dxa"/>
            <w:tcBorders>
              <w:top w:val="nil"/>
              <w:left w:val="nil"/>
              <w:bottom w:val="nil"/>
              <w:right w:val="nil"/>
            </w:tcBorders>
            <w:shd w:val="clear" w:color="auto" w:fill="auto"/>
            <w:noWrap/>
            <w:vAlign w:val="center"/>
            <w:hideMark/>
          </w:tcPr>
          <w:p w14:paraId="0C6CAC9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0.17197</w:t>
            </w:r>
          </w:p>
        </w:tc>
        <w:tc>
          <w:tcPr>
            <w:tcW w:w="1396" w:type="dxa"/>
            <w:tcBorders>
              <w:top w:val="nil"/>
              <w:left w:val="nil"/>
              <w:bottom w:val="nil"/>
              <w:right w:val="nil"/>
            </w:tcBorders>
            <w:shd w:val="clear" w:color="auto" w:fill="auto"/>
            <w:noWrap/>
            <w:vAlign w:val="center"/>
            <w:hideMark/>
          </w:tcPr>
          <w:p w14:paraId="40252E3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0.69</w:t>
            </w:r>
          </w:p>
        </w:tc>
        <w:tc>
          <w:tcPr>
            <w:tcW w:w="2362" w:type="dxa"/>
            <w:tcBorders>
              <w:top w:val="nil"/>
              <w:left w:val="nil"/>
              <w:bottom w:val="nil"/>
              <w:right w:val="nil"/>
            </w:tcBorders>
            <w:shd w:val="clear" w:color="auto" w:fill="auto"/>
            <w:noWrap/>
            <w:vAlign w:val="center"/>
            <w:hideMark/>
          </w:tcPr>
          <w:p w14:paraId="6D69B66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$971,625.11</w:t>
            </w:r>
          </w:p>
        </w:tc>
        <w:tc>
          <w:tcPr>
            <w:tcW w:w="1581" w:type="dxa"/>
            <w:tcBorders>
              <w:top w:val="nil"/>
              <w:left w:val="nil"/>
              <w:bottom w:val="nil"/>
              <w:right w:val="nil"/>
            </w:tcBorders>
            <w:shd w:val="clear" w:color="auto" w:fill="auto"/>
            <w:noWrap/>
            <w:vAlign w:val="center"/>
            <w:hideMark/>
          </w:tcPr>
          <w:p w14:paraId="0B87C538"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-$28,374.89</w:t>
            </w:r>
          </w:p>
        </w:tc>
      </w:tr>
      <w:tr w:rsidR="00515DFA" w:rsidRPr="00812318" w14:paraId="7361B854" w14:textId="77777777" w:rsidTr="001A5B77">
        <w:trPr>
          <w:trHeight w:val="310"/>
        </w:trPr>
        <w:tc>
          <w:tcPr>
            <w:tcW w:w="1314" w:type="dxa"/>
            <w:tcBorders>
              <w:top w:val="nil"/>
              <w:left w:val="nil"/>
              <w:bottom w:val="nil"/>
              <w:right w:val="nil"/>
            </w:tcBorders>
            <w:shd w:val="clear" w:color="auto" w:fill="auto"/>
            <w:noWrap/>
            <w:vAlign w:val="center"/>
            <w:hideMark/>
          </w:tcPr>
          <w:p w14:paraId="5B8BEC74"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4/7/2020</w:t>
            </w:r>
          </w:p>
        </w:tc>
        <w:tc>
          <w:tcPr>
            <w:tcW w:w="1293" w:type="dxa"/>
            <w:tcBorders>
              <w:top w:val="nil"/>
              <w:left w:val="nil"/>
              <w:bottom w:val="nil"/>
              <w:right w:val="nil"/>
            </w:tcBorders>
            <w:shd w:val="clear" w:color="auto" w:fill="auto"/>
            <w:noWrap/>
            <w:vAlign w:val="center"/>
            <w:hideMark/>
          </w:tcPr>
          <w:p w14:paraId="21FB180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w:t>
            </w:r>
          </w:p>
        </w:tc>
        <w:tc>
          <w:tcPr>
            <w:tcW w:w="1314" w:type="dxa"/>
            <w:tcBorders>
              <w:top w:val="nil"/>
              <w:left w:val="nil"/>
              <w:bottom w:val="nil"/>
              <w:right w:val="nil"/>
            </w:tcBorders>
            <w:shd w:val="clear" w:color="auto" w:fill="auto"/>
            <w:noWrap/>
            <w:vAlign w:val="center"/>
            <w:hideMark/>
          </w:tcPr>
          <w:p w14:paraId="38D6728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0.17241</w:t>
            </w:r>
          </w:p>
        </w:tc>
        <w:tc>
          <w:tcPr>
            <w:tcW w:w="1396" w:type="dxa"/>
            <w:tcBorders>
              <w:top w:val="nil"/>
              <w:left w:val="nil"/>
              <w:bottom w:val="nil"/>
              <w:right w:val="nil"/>
            </w:tcBorders>
            <w:shd w:val="clear" w:color="auto" w:fill="auto"/>
            <w:noWrap/>
            <w:vAlign w:val="center"/>
            <w:hideMark/>
          </w:tcPr>
          <w:p w14:paraId="15F39928"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-0.26</w:t>
            </w:r>
          </w:p>
        </w:tc>
        <w:tc>
          <w:tcPr>
            <w:tcW w:w="2362" w:type="dxa"/>
            <w:tcBorders>
              <w:top w:val="nil"/>
              <w:left w:val="nil"/>
              <w:bottom w:val="nil"/>
              <w:right w:val="nil"/>
            </w:tcBorders>
            <w:shd w:val="clear" w:color="auto" w:fill="auto"/>
            <w:noWrap/>
            <w:vAlign w:val="center"/>
            <w:hideMark/>
          </w:tcPr>
          <w:p w14:paraId="3D47424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$974,137.93</w:t>
            </w:r>
          </w:p>
        </w:tc>
        <w:tc>
          <w:tcPr>
            <w:tcW w:w="1581" w:type="dxa"/>
            <w:tcBorders>
              <w:top w:val="nil"/>
              <w:left w:val="nil"/>
              <w:bottom w:val="nil"/>
              <w:right w:val="nil"/>
            </w:tcBorders>
            <w:shd w:val="clear" w:color="auto" w:fill="auto"/>
            <w:noWrap/>
            <w:vAlign w:val="center"/>
            <w:hideMark/>
          </w:tcPr>
          <w:p w14:paraId="71C6D18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-$25,862.07</w:t>
            </w:r>
          </w:p>
        </w:tc>
      </w:tr>
      <w:tr w:rsidR="00515DFA" w:rsidRPr="00812318" w14:paraId="1823A1EB" w14:textId="77777777" w:rsidTr="001A5B77">
        <w:trPr>
          <w:trHeight w:val="310"/>
        </w:trPr>
        <w:tc>
          <w:tcPr>
            <w:tcW w:w="1314" w:type="dxa"/>
            <w:tcBorders>
              <w:top w:val="nil"/>
              <w:left w:val="nil"/>
              <w:bottom w:val="nil"/>
              <w:right w:val="nil"/>
            </w:tcBorders>
            <w:shd w:val="clear" w:color="auto" w:fill="auto"/>
            <w:noWrap/>
            <w:vAlign w:val="center"/>
            <w:hideMark/>
          </w:tcPr>
          <w:p w14:paraId="06E9720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4/8/2020</w:t>
            </w:r>
          </w:p>
        </w:tc>
        <w:tc>
          <w:tcPr>
            <w:tcW w:w="1293" w:type="dxa"/>
            <w:tcBorders>
              <w:top w:val="nil"/>
              <w:left w:val="nil"/>
              <w:bottom w:val="nil"/>
              <w:right w:val="nil"/>
            </w:tcBorders>
            <w:shd w:val="clear" w:color="auto" w:fill="auto"/>
            <w:noWrap/>
            <w:vAlign w:val="center"/>
            <w:hideMark/>
          </w:tcPr>
          <w:p w14:paraId="44C7D4E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5.775</w:t>
            </w:r>
          </w:p>
        </w:tc>
        <w:tc>
          <w:tcPr>
            <w:tcW w:w="1314" w:type="dxa"/>
            <w:tcBorders>
              <w:top w:val="nil"/>
              <w:left w:val="nil"/>
              <w:bottom w:val="nil"/>
              <w:right w:val="nil"/>
            </w:tcBorders>
            <w:shd w:val="clear" w:color="auto" w:fill="auto"/>
            <w:noWrap/>
            <w:vAlign w:val="center"/>
            <w:hideMark/>
          </w:tcPr>
          <w:p w14:paraId="413F666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0.17316</w:t>
            </w:r>
          </w:p>
        </w:tc>
        <w:tc>
          <w:tcPr>
            <w:tcW w:w="1396" w:type="dxa"/>
            <w:tcBorders>
              <w:top w:val="nil"/>
              <w:left w:val="nil"/>
              <w:bottom w:val="nil"/>
              <w:right w:val="nil"/>
            </w:tcBorders>
            <w:shd w:val="clear" w:color="auto" w:fill="auto"/>
            <w:noWrap/>
            <w:vAlign w:val="center"/>
            <w:hideMark/>
          </w:tcPr>
          <w:p w14:paraId="3848580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-0.43</w:t>
            </w:r>
          </w:p>
        </w:tc>
        <w:tc>
          <w:tcPr>
            <w:tcW w:w="2362" w:type="dxa"/>
            <w:tcBorders>
              <w:top w:val="nil"/>
              <w:left w:val="nil"/>
              <w:bottom w:val="nil"/>
              <w:right w:val="nil"/>
            </w:tcBorders>
            <w:shd w:val="clear" w:color="auto" w:fill="auto"/>
            <w:noWrap/>
            <w:vAlign w:val="center"/>
            <w:hideMark/>
          </w:tcPr>
          <w:p w14:paraId="4A650F5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$978,354.98</w:t>
            </w:r>
          </w:p>
        </w:tc>
        <w:tc>
          <w:tcPr>
            <w:tcW w:w="1581" w:type="dxa"/>
            <w:tcBorders>
              <w:top w:val="nil"/>
              <w:left w:val="nil"/>
              <w:bottom w:val="nil"/>
              <w:right w:val="nil"/>
            </w:tcBorders>
            <w:shd w:val="clear" w:color="auto" w:fill="auto"/>
            <w:noWrap/>
            <w:vAlign w:val="center"/>
            <w:hideMark/>
          </w:tcPr>
          <w:p w14:paraId="220AEC9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-$21,645.02</w:t>
            </w:r>
          </w:p>
        </w:tc>
      </w:tr>
      <w:tr w:rsidR="00515DFA" w:rsidRPr="00812318" w14:paraId="25A644EA" w14:textId="77777777" w:rsidTr="001A5B77">
        <w:trPr>
          <w:trHeight w:val="310"/>
        </w:trPr>
        <w:tc>
          <w:tcPr>
            <w:tcW w:w="1314" w:type="dxa"/>
            <w:tcBorders>
              <w:top w:val="nil"/>
              <w:left w:val="nil"/>
              <w:bottom w:val="nil"/>
              <w:right w:val="nil"/>
            </w:tcBorders>
            <w:shd w:val="clear" w:color="auto" w:fill="auto"/>
            <w:noWrap/>
            <w:vAlign w:val="center"/>
            <w:hideMark/>
          </w:tcPr>
          <w:p w14:paraId="2A07834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4/9/2020</w:t>
            </w:r>
          </w:p>
        </w:tc>
        <w:tc>
          <w:tcPr>
            <w:tcW w:w="1293" w:type="dxa"/>
            <w:tcBorders>
              <w:top w:val="nil"/>
              <w:left w:val="nil"/>
              <w:bottom w:val="nil"/>
              <w:right w:val="nil"/>
            </w:tcBorders>
            <w:shd w:val="clear" w:color="auto" w:fill="auto"/>
            <w:noWrap/>
            <w:vAlign w:val="center"/>
            <w:hideMark/>
          </w:tcPr>
          <w:p w14:paraId="7D43D22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5.775</w:t>
            </w:r>
          </w:p>
        </w:tc>
        <w:tc>
          <w:tcPr>
            <w:tcW w:w="1314" w:type="dxa"/>
            <w:tcBorders>
              <w:top w:val="nil"/>
              <w:left w:val="nil"/>
              <w:bottom w:val="nil"/>
              <w:right w:val="nil"/>
            </w:tcBorders>
            <w:shd w:val="clear" w:color="auto" w:fill="auto"/>
            <w:noWrap/>
            <w:vAlign w:val="center"/>
            <w:hideMark/>
          </w:tcPr>
          <w:p w14:paraId="2DE2AF3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0.17316</w:t>
            </w:r>
          </w:p>
        </w:tc>
        <w:tc>
          <w:tcPr>
            <w:tcW w:w="1396" w:type="dxa"/>
            <w:tcBorders>
              <w:top w:val="nil"/>
              <w:left w:val="nil"/>
              <w:bottom w:val="nil"/>
              <w:right w:val="nil"/>
            </w:tcBorders>
            <w:shd w:val="clear" w:color="auto" w:fill="auto"/>
            <w:noWrap/>
            <w:vAlign w:val="center"/>
            <w:hideMark/>
          </w:tcPr>
          <w:p w14:paraId="6C69752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0.00</w:t>
            </w:r>
          </w:p>
        </w:tc>
        <w:tc>
          <w:tcPr>
            <w:tcW w:w="2362" w:type="dxa"/>
            <w:tcBorders>
              <w:top w:val="nil"/>
              <w:left w:val="nil"/>
              <w:bottom w:val="nil"/>
              <w:right w:val="nil"/>
            </w:tcBorders>
            <w:shd w:val="clear" w:color="auto" w:fill="auto"/>
            <w:noWrap/>
            <w:vAlign w:val="center"/>
            <w:hideMark/>
          </w:tcPr>
          <w:p w14:paraId="24BF2EC8"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$978,354.98</w:t>
            </w:r>
          </w:p>
        </w:tc>
        <w:tc>
          <w:tcPr>
            <w:tcW w:w="1581" w:type="dxa"/>
            <w:tcBorders>
              <w:top w:val="nil"/>
              <w:left w:val="nil"/>
              <w:bottom w:val="nil"/>
              <w:right w:val="nil"/>
            </w:tcBorders>
            <w:shd w:val="clear" w:color="auto" w:fill="auto"/>
            <w:noWrap/>
            <w:vAlign w:val="center"/>
            <w:hideMark/>
          </w:tcPr>
          <w:p w14:paraId="557286B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-$21,645.02</w:t>
            </w:r>
          </w:p>
        </w:tc>
      </w:tr>
      <w:tr w:rsidR="00515DFA" w:rsidRPr="00812318" w14:paraId="5AAF3925" w14:textId="77777777" w:rsidTr="001A5B77">
        <w:trPr>
          <w:trHeight w:val="310"/>
        </w:trPr>
        <w:tc>
          <w:tcPr>
            <w:tcW w:w="1314" w:type="dxa"/>
            <w:tcBorders>
              <w:top w:val="nil"/>
              <w:left w:val="nil"/>
              <w:bottom w:val="nil"/>
              <w:right w:val="nil"/>
            </w:tcBorders>
            <w:shd w:val="clear" w:color="auto" w:fill="auto"/>
            <w:noWrap/>
            <w:vAlign w:val="center"/>
            <w:hideMark/>
          </w:tcPr>
          <w:p w14:paraId="76AE8E3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4/10/2020</w:t>
            </w:r>
          </w:p>
        </w:tc>
        <w:tc>
          <w:tcPr>
            <w:tcW w:w="1293" w:type="dxa"/>
            <w:tcBorders>
              <w:top w:val="nil"/>
              <w:left w:val="nil"/>
              <w:bottom w:val="nil"/>
              <w:right w:val="nil"/>
            </w:tcBorders>
            <w:shd w:val="clear" w:color="auto" w:fill="auto"/>
            <w:noWrap/>
            <w:vAlign w:val="center"/>
            <w:hideMark/>
          </w:tcPr>
          <w:p w14:paraId="2192993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5.7749</w:t>
            </w:r>
          </w:p>
        </w:tc>
        <w:tc>
          <w:tcPr>
            <w:tcW w:w="1314" w:type="dxa"/>
            <w:tcBorders>
              <w:top w:val="nil"/>
              <w:left w:val="nil"/>
              <w:bottom w:val="nil"/>
              <w:right w:val="nil"/>
            </w:tcBorders>
            <w:shd w:val="clear" w:color="auto" w:fill="auto"/>
            <w:noWrap/>
            <w:vAlign w:val="center"/>
            <w:hideMark/>
          </w:tcPr>
          <w:p w14:paraId="100CA68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0.17316</w:t>
            </w:r>
          </w:p>
        </w:tc>
        <w:tc>
          <w:tcPr>
            <w:tcW w:w="1396" w:type="dxa"/>
            <w:tcBorders>
              <w:top w:val="nil"/>
              <w:left w:val="nil"/>
              <w:bottom w:val="nil"/>
              <w:right w:val="nil"/>
            </w:tcBorders>
            <w:shd w:val="clear" w:color="auto" w:fill="auto"/>
            <w:noWrap/>
            <w:vAlign w:val="center"/>
            <w:hideMark/>
          </w:tcPr>
          <w:p w14:paraId="505D50D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0.00</w:t>
            </w:r>
          </w:p>
        </w:tc>
        <w:tc>
          <w:tcPr>
            <w:tcW w:w="2362" w:type="dxa"/>
            <w:tcBorders>
              <w:top w:val="nil"/>
              <w:left w:val="nil"/>
              <w:bottom w:val="nil"/>
              <w:right w:val="nil"/>
            </w:tcBorders>
            <w:shd w:val="clear" w:color="auto" w:fill="auto"/>
            <w:noWrap/>
            <w:vAlign w:val="center"/>
            <w:hideMark/>
          </w:tcPr>
          <w:p w14:paraId="26F288F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$978,371.92</w:t>
            </w:r>
          </w:p>
        </w:tc>
        <w:tc>
          <w:tcPr>
            <w:tcW w:w="1581" w:type="dxa"/>
            <w:tcBorders>
              <w:top w:val="nil"/>
              <w:left w:val="nil"/>
              <w:bottom w:val="nil"/>
              <w:right w:val="nil"/>
            </w:tcBorders>
            <w:shd w:val="clear" w:color="auto" w:fill="auto"/>
            <w:noWrap/>
            <w:vAlign w:val="center"/>
            <w:hideMark/>
          </w:tcPr>
          <w:p w14:paraId="417C5AA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-$21,628.08</w:t>
            </w:r>
          </w:p>
        </w:tc>
      </w:tr>
      <w:tr w:rsidR="00515DFA" w:rsidRPr="00812318" w14:paraId="42ECFEF1" w14:textId="77777777" w:rsidTr="001A5B77">
        <w:trPr>
          <w:trHeight w:val="310"/>
        </w:trPr>
        <w:tc>
          <w:tcPr>
            <w:tcW w:w="1314" w:type="dxa"/>
            <w:tcBorders>
              <w:top w:val="nil"/>
              <w:left w:val="nil"/>
              <w:bottom w:val="nil"/>
              <w:right w:val="nil"/>
            </w:tcBorders>
            <w:shd w:val="clear" w:color="auto" w:fill="auto"/>
            <w:noWrap/>
            <w:vAlign w:val="center"/>
            <w:hideMark/>
          </w:tcPr>
          <w:p w14:paraId="0F303748"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4/13/2020</w:t>
            </w:r>
          </w:p>
        </w:tc>
        <w:tc>
          <w:tcPr>
            <w:tcW w:w="1293" w:type="dxa"/>
            <w:tcBorders>
              <w:top w:val="nil"/>
              <w:left w:val="nil"/>
              <w:bottom w:val="nil"/>
              <w:right w:val="nil"/>
            </w:tcBorders>
            <w:shd w:val="clear" w:color="auto" w:fill="auto"/>
            <w:noWrap/>
            <w:vAlign w:val="center"/>
            <w:hideMark/>
          </w:tcPr>
          <w:p w14:paraId="47C57BC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5.835</w:t>
            </w:r>
          </w:p>
        </w:tc>
        <w:tc>
          <w:tcPr>
            <w:tcW w:w="1314" w:type="dxa"/>
            <w:tcBorders>
              <w:top w:val="nil"/>
              <w:left w:val="nil"/>
              <w:bottom w:val="nil"/>
              <w:right w:val="nil"/>
            </w:tcBorders>
            <w:shd w:val="clear" w:color="auto" w:fill="auto"/>
            <w:noWrap/>
            <w:vAlign w:val="center"/>
            <w:hideMark/>
          </w:tcPr>
          <w:p w14:paraId="7E2A6B1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0.17138</w:t>
            </w:r>
          </w:p>
        </w:tc>
        <w:tc>
          <w:tcPr>
            <w:tcW w:w="1396" w:type="dxa"/>
            <w:tcBorders>
              <w:top w:val="nil"/>
              <w:left w:val="nil"/>
              <w:bottom w:val="nil"/>
              <w:right w:val="nil"/>
            </w:tcBorders>
            <w:shd w:val="clear" w:color="auto" w:fill="auto"/>
            <w:noWrap/>
            <w:vAlign w:val="center"/>
            <w:hideMark/>
          </w:tcPr>
          <w:p w14:paraId="3C5B3D7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1.03</w:t>
            </w:r>
          </w:p>
        </w:tc>
        <w:tc>
          <w:tcPr>
            <w:tcW w:w="2362" w:type="dxa"/>
            <w:tcBorders>
              <w:top w:val="nil"/>
              <w:left w:val="nil"/>
              <w:bottom w:val="nil"/>
              <w:right w:val="nil"/>
            </w:tcBorders>
            <w:shd w:val="clear" w:color="auto" w:fill="auto"/>
            <w:noWrap/>
            <w:vAlign w:val="center"/>
            <w:hideMark/>
          </w:tcPr>
          <w:p w14:paraId="13524F5C"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$968,294.77</w:t>
            </w:r>
          </w:p>
        </w:tc>
        <w:tc>
          <w:tcPr>
            <w:tcW w:w="1581" w:type="dxa"/>
            <w:tcBorders>
              <w:top w:val="nil"/>
              <w:left w:val="nil"/>
              <w:bottom w:val="nil"/>
              <w:right w:val="nil"/>
            </w:tcBorders>
            <w:shd w:val="clear" w:color="auto" w:fill="auto"/>
            <w:noWrap/>
            <w:vAlign w:val="center"/>
            <w:hideMark/>
          </w:tcPr>
          <w:p w14:paraId="57BB2E5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-$31,705.23</w:t>
            </w:r>
          </w:p>
        </w:tc>
      </w:tr>
      <w:tr w:rsidR="00515DFA" w:rsidRPr="00812318" w14:paraId="0C851A52" w14:textId="77777777" w:rsidTr="001A5B77">
        <w:trPr>
          <w:trHeight w:val="310"/>
        </w:trPr>
        <w:tc>
          <w:tcPr>
            <w:tcW w:w="1314" w:type="dxa"/>
            <w:tcBorders>
              <w:top w:val="nil"/>
              <w:left w:val="nil"/>
              <w:bottom w:val="nil"/>
              <w:right w:val="nil"/>
            </w:tcBorders>
            <w:shd w:val="clear" w:color="auto" w:fill="auto"/>
            <w:noWrap/>
            <w:vAlign w:val="center"/>
            <w:hideMark/>
          </w:tcPr>
          <w:p w14:paraId="18FD46C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4/14/2020</w:t>
            </w:r>
          </w:p>
        </w:tc>
        <w:tc>
          <w:tcPr>
            <w:tcW w:w="1293" w:type="dxa"/>
            <w:tcBorders>
              <w:top w:val="nil"/>
              <w:left w:val="nil"/>
              <w:bottom w:val="nil"/>
              <w:right w:val="nil"/>
            </w:tcBorders>
            <w:shd w:val="clear" w:color="auto" w:fill="auto"/>
            <w:noWrap/>
            <w:vAlign w:val="center"/>
            <w:hideMark/>
          </w:tcPr>
          <w:p w14:paraId="479046D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5.81</w:t>
            </w:r>
          </w:p>
        </w:tc>
        <w:tc>
          <w:tcPr>
            <w:tcW w:w="1314" w:type="dxa"/>
            <w:tcBorders>
              <w:top w:val="nil"/>
              <w:left w:val="nil"/>
              <w:bottom w:val="nil"/>
              <w:right w:val="nil"/>
            </w:tcBorders>
            <w:shd w:val="clear" w:color="auto" w:fill="auto"/>
            <w:noWrap/>
            <w:vAlign w:val="center"/>
            <w:hideMark/>
          </w:tcPr>
          <w:p w14:paraId="04FA48BA"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0.17212</w:t>
            </w:r>
          </w:p>
        </w:tc>
        <w:tc>
          <w:tcPr>
            <w:tcW w:w="1396" w:type="dxa"/>
            <w:tcBorders>
              <w:top w:val="nil"/>
              <w:left w:val="nil"/>
              <w:bottom w:val="nil"/>
              <w:right w:val="nil"/>
            </w:tcBorders>
            <w:shd w:val="clear" w:color="auto" w:fill="auto"/>
            <w:noWrap/>
            <w:vAlign w:val="center"/>
            <w:hideMark/>
          </w:tcPr>
          <w:p w14:paraId="10C4B7E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-0.43</w:t>
            </w:r>
          </w:p>
        </w:tc>
        <w:tc>
          <w:tcPr>
            <w:tcW w:w="2362" w:type="dxa"/>
            <w:tcBorders>
              <w:top w:val="nil"/>
              <w:left w:val="nil"/>
              <w:bottom w:val="nil"/>
              <w:right w:val="nil"/>
            </w:tcBorders>
            <w:shd w:val="clear" w:color="auto" w:fill="auto"/>
            <w:noWrap/>
            <w:vAlign w:val="center"/>
            <w:hideMark/>
          </w:tcPr>
          <w:p w14:paraId="65CFD276"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$972,461.27</w:t>
            </w:r>
          </w:p>
        </w:tc>
        <w:tc>
          <w:tcPr>
            <w:tcW w:w="1581" w:type="dxa"/>
            <w:tcBorders>
              <w:top w:val="nil"/>
              <w:left w:val="nil"/>
              <w:bottom w:val="nil"/>
              <w:right w:val="nil"/>
            </w:tcBorders>
            <w:shd w:val="clear" w:color="auto" w:fill="auto"/>
            <w:noWrap/>
            <w:vAlign w:val="center"/>
            <w:hideMark/>
          </w:tcPr>
          <w:p w14:paraId="70C9E5E3"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-$27,538.73</w:t>
            </w:r>
          </w:p>
        </w:tc>
      </w:tr>
      <w:tr w:rsidR="00515DFA" w:rsidRPr="00812318" w14:paraId="25BD4CD0" w14:textId="77777777" w:rsidTr="001A5B77">
        <w:trPr>
          <w:trHeight w:val="310"/>
        </w:trPr>
        <w:tc>
          <w:tcPr>
            <w:tcW w:w="1314" w:type="dxa"/>
            <w:tcBorders>
              <w:top w:val="nil"/>
              <w:left w:val="nil"/>
              <w:bottom w:val="nil"/>
              <w:right w:val="nil"/>
            </w:tcBorders>
            <w:shd w:val="clear" w:color="auto" w:fill="auto"/>
            <w:noWrap/>
            <w:vAlign w:val="center"/>
            <w:hideMark/>
          </w:tcPr>
          <w:p w14:paraId="694F822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4/15/2020</w:t>
            </w:r>
          </w:p>
        </w:tc>
        <w:tc>
          <w:tcPr>
            <w:tcW w:w="1293" w:type="dxa"/>
            <w:tcBorders>
              <w:top w:val="nil"/>
              <w:left w:val="nil"/>
              <w:bottom w:val="nil"/>
              <w:right w:val="nil"/>
            </w:tcBorders>
            <w:shd w:val="clear" w:color="auto" w:fill="auto"/>
            <w:noWrap/>
            <w:vAlign w:val="center"/>
            <w:hideMark/>
          </w:tcPr>
          <w:p w14:paraId="2A40B4C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5.835</w:t>
            </w:r>
          </w:p>
        </w:tc>
        <w:tc>
          <w:tcPr>
            <w:tcW w:w="1314" w:type="dxa"/>
            <w:tcBorders>
              <w:top w:val="nil"/>
              <w:left w:val="nil"/>
              <w:bottom w:val="nil"/>
              <w:right w:val="nil"/>
            </w:tcBorders>
            <w:shd w:val="clear" w:color="auto" w:fill="auto"/>
            <w:noWrap/>
            <w:vAlign w:val="center"/>
            <w:hideMark/>
          </w:tcPr>
          <w:p w14:paraId="0F6459B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0.17138</w:t>
            </w:r>
          </w:p>
        </w:tc>
        <w:tc>
          <w:tcPr>
            <w:tcW w:w="1396" w:type="dxa"/>
            <w:tcBorders>
              <w:top w:val="nil"/>
              <w:left w:val="nil"/>
              <w:bottom w:val="nil"/>
              <w:right w:val="nil"/>
            </w:tcBorders>
            <w:shd w:val="clear" w:color="auto" w:fill="auto"/>
            <w:noWrap/>
            <w:vAlign w:val="center"/>
            <w:hideMark/>
          </w:tcPr>
          <w:p w14:paraId="17D27B07"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0.43</w:t>
            </w:r>
          </w:p>
        </w:tc>
        <w:tc>
          <w:tcPr>
            <w:tcW w:w="2362" w:type="dxa"/>
            <w:tcBorders>
              <w:top w:val="nil"/>
              <w:left w:val="nil"/>
              <w:bottom w:val="nil"/>
              <w:right w:val="nil"/>
            </w:tcBorders>
            <w:shd w:val="clear" w:color="auto" w:fill="auto"/>
            <w:noWrap/>
            <w:vAlign w:val="center"/>
            <w:hideMark/>
          </w:tcPr>
          <w:p w14:paraId="00C68234"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$968,294.77</w:t>
            </w:r>
          </w:p>
        </w:tc>
        <w:tc>
          <w:tcPr>
            <w:tcW w:w="1581" w:type="dxa"/>
            <w:tcBorders>
              <w:top w:val="nil"/>
              <w:left w:val="nil"/>
              <w:bottom w:val="nil"/>
              <w:right w:val="nil"/>
            </w:tcBorders>
            <w:shd w:val="clear" w:color="auto" w:fill="auto"/>
            <w:noWrap/>
            <w:vAlign w:val="center"/>
            <w:hideMark/>
          </w:tcPr>
          <w:p w14:paraId="5A7DC36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-$31,705.23</w:t>
            </w:r>
          </w:p>
        </w:tc>
      </w:tr>
      <w:tr w:rsidR="00515DFA" w:rsidRPr="00812318" w14:paraId="7217D374" w14:textId="77777777" w:rsidTr="001A5B77">
        <w:trPr>
          <w:trHeight w:val="310"/>
        </w:trPr>
        <w:tc>
          <w:tcPr>
            <w:tcW w:w="1314" w:type="dxa"/>
            <w:tcBorders>
              <w:top w:val="nil"/>
              <w:left w:val="nil"/>
              <w:bottom w:val="nil"/>
              <w:right w:val="nil"/>
            </w:tcBorders>
            <w:shd w:val="clear" w:color="auto" w:fill="auto"/>
            <w:noWrap/>
            <w:vAlign w:val="center"/>
            <w:hideMark/>
          </w:tcPr>
          <w:p w14:paraId="6A388E11"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4/16/2020</w:t>
            </w:r>
          </w:p>
        </w:tc>
        <w:tc>
          <w:tcPr>
            <w:tcW w:w="1293" w:type="dxa"/>
            <w:tcBorders>
              <w:top w:val="nil"/>
              <w:left w:val="nil"/>
              <w:bottom w:val="nil"/>
              <w:right w:val="nil"/>
            </w:tcBorders>
            <w:shd w:val="clear" w:color="auto" w:fill="auto"/>
            <w:noWrap/>
            <w:vAlign w:val="center"/>
            <w:hideMark/>
          </w:tcPr>
          <w:p w14:paraId="16AF1F7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w:t>
            </w:r>
          </w:p>
        </w:tc>
        <w:tc>
          <w:tcPr>
            <w:tcW w:w="1314" w:type="dxa"/>
            <w:tcBorders>
              <w:top w:val="nil"/>
              <w:left w:val="nil"/>
              <w:bottom w:val="nil"/>
              <w:right w:val="nil"/>
            </w:tcBorders>
            <w:shd w:val="clear" w:color="auto" w:fill="auto"/>
            <w:noWrap/>
            <w:vAlign w:val="center"/>
            <w:hideMark/>
          </w:tcPr>
          <w:p w14:paraId="575699F4"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0.17241</w:t>
            </w:r>
          </w:p>
        </w:tc>
        <w:tc>
          <w:tcPr>
            <w:tcW w:w="1396" w:type="dxa"/>
            <w:tcBorders>
              <w:top w:val="nil"/>
              <w:left w:val="nil"/>
              <w:bottom w:val="nil"/>
              <w:right w:val="nil"/>
            </w:tcBorders>
            <w:shd w:val="clear" w:color="auto" w:fill="auto"/>
            <w:noWrap/>
            <w:vAlign w:val="center"/>
            <w:hideMark/>
          </w:tcPr>
          <w:p w14:paraId="305D064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-0.60</w:t>
            </w:r>
          </w:p>
        </w:tc>
        <w:tc>
          <w:tcPr>
            <w:tcW w:w="2362" w:type="dxa"/>
            <w:tcBorders>
              <w:top w:val="nil"/>
              <w:left w:val="nil"/>
              <w:bottom w:val="nil"/>
              <w:right w:val="nil"/>
            </w:tcBorders>
            <w:shd w:val="clear" w:color="auto" w:fill="auto"/>
            <w:noWrap/>
            <w:vAlign w:val="center"/>
            <w:hideMark/>
          </w:tcPr>
          <w:p w14:paraId="7BC77795"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$974,137.93</w:t>
            </w:r>
          </w:p>
        </w:tc>
        <w:tc>
          <w:tcPr>
            <w:tcW w:w="1581" w:type="dxa"/>
            <w:tcBorders>
              <w:top w:val="nil"/>
              <w:left w:val="nil"/>
              <w:bottom w:val="nil"/>
              <w:right w:val="nil"/>
            </w:tcBorders>
            <w:shd w:val="clear" w:color="auto" w:fill="auto"/>
            <w:noWrap/>
            <w:vAlign w:val="center"/>
            <w:hideMark/>
          </w:tcPr>
          <w:p w14:paraId="2E439780"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-$25,862.07</w:t>
            </w:r>
          </w:p>
        </w:tc>
      </w:tr>
      <w:tr w:rsidR="00515DFA" w:rsidRPr="00812318" w14:paraId="05A57630" w14:textId="77777777" w:rsidTr="001A5B77">
        <w:trPr>
          <w:trHeight w:val="310"/>
        </w:trPr>
        <w:tc>
          <w:tcPr>
            <w:tcW w:w="1314" w:type="dxa"/>
            <w:tcBorders>
              <w:top w:val="nil"/>
              <w:left w:val="nil"/>
              <w:bottom w:val="nil"/>
              <w:right w:val="nil"/>
            </w:tcBorders>
            <w:shd w:val="clear" w:color="auto" w:fill="auto"/>
            <w:noWrap/>
            <w:vAlign w:val="center"/>
            <w:hideMark/>
          </w:tcPr>
          <w:p w14:paraId="1717EDB2"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4/17/2020</w:t>
            </w:r>
          </w:p>
        </w:tc>
        <w:tc>
          <w:tcPr>
            <w:tcW w:w="1293" w:type="dxa"/>
            <w:tcBorders>
              <w:top w:val="nil"/>
              <w:left w:val="nil"/>
              <w:bottom w:val="nil"/>
              <w:right w:val="nil"/>
            </w:tcBorders>
            <w:shd w:val="clear" w:color="auto" w:fill="auto"/>
            <w:noWrap/>
            <w:vAlign w:val="center"/>
            <w:hideMark/>
          </w:tcPr>
          <w:p w14:paraId="0C069684"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5.8</w:t>
            </w:r>
          </w:p>
        </w:tc>
        <w:tc>
          <w:tcPr>
            <w:tcW w:w="1314" w:type="dxa"/>
            <w:tcBorders>
              <w:top w:val="nil"/>
              <w:left w:val="nil"/>
              <w:bottom w:val="nil"/>
              <w:right w:val="nil"/>
            </w:tcBorders>
            <w:shd w:val="clear" w:color="auto" w:fill="auto"/>
            <w:noWrap/>
            <w:vAlign w:val="center"/>
            <w:hideMark/>
          </w:tcPr>
          <w:p w14:paraId="73C8F90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0.17241</w:t>
            </w:r>
          </w:p>
        </w:tc>
        <w:tc>
          <w:tcPr>
            <w:tcW w:w="1396" w:type="dxa"/>
            <w:tcBorders>
              <w:top w:val="nil"/>
              <w:left w:val="nil"/>
              <w:bottom w:val="nil"/>
              <w:right w:val="nil"/>
            </w:tcBorders>
            <w:shd w:val="clear" w:color="auto" w:fill="auto"/>
            <w:noWrap/>
            <w:vAlign w:val="center"/>
            <w:hideMark/>
          </w:tcPr>
          <w:p w14:paraId="00076349"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0.00</w:t>
            </w:r>
          </w:p>
        </w:tc>
        <w:tc>
          <w:tcPr>
            <w:tcW w:w="2362" w:type="dxa"/>
            <w:tcBorders>
              <w:top w:val="nil"/>
              <w:left w:val="nil"/>
              <w:bottom w:val="nil"/>
              <w:right w:val="nil"/>
            </w:tcBorders>
            <w:shd w:val="clear" w:color="auto" w:fill="auto"/>
            <w:noWrap/>
            <w:vAlign w:val="center"/>
            <w:hideMark/>
          </w:tcPr>
          <w:p w14:paraId="367888DD"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$974,137.93</w:t>
            </w:r>
          </w:p>
        </w:tc>
        <w:tc>
          <w:tcPr>
            <w:tcW w:w="1581" w:type="dxa"/>
            <w:tcBorders>
              <w:top w:val="nil"/>
              <w:left w:val="nil"/>
              <w:bottom w:val="nil"/>
              <w:right w:val="nil"/>
            </w:tcBorders>
            <w:shd w:val="clear" w:color="auto" w:fill="auto"/>
            <w:noWrap/>
            <w:vAlign w:val="center"/>
            <w:hideMark/>
          </w:tcPr>
          <w:p w14:paraId="4927599B" w14:textId="77777777" w:rsidR="00515DFA" w:rsidRPr="00812318" w:rsidRDefault="00515DFA" w:rsidP="001A5B77">
            <w:pPr>
              <w:spacing w:after="0" w:line="240" w:lineRule="auto"/>
              <w:jc w:val="center"/>
              <w:rPr>
                <w:rFonts w:ascii="Arial" w:eastAsia="Times New Roman" w:hAnsi="Arial" w:cs="Arial"/>
                <w:color w:val="000000"/>
              </w:rPr>
            </w:pPr>
            <w:r w:rsidRPr="00812318">
              <w:rPr>
                <w:rFonts w:ascii="Arial" w:eastAsia="Times New Roman" w:hAnsi="Arial" w:cs="Arial"/>
                <w:color w:val="000000"/>
              </w:rPr>
              <w:t>-$25,862.07</w:t>
            </w:r>
          </w:p>
        </w:tc>
      </w:tr>
      <w:tr w:rsidR="00515DFA" w:rsidRPr="00812318" w14:paraId="099C1026" w14:textId="77777777" w:rsidTr="001A5B77">
        <w:trPr>
          <w:trHeight w:val="310"/>
        </w:trPr>
        <w:tc>
          <w:tcPr>
            <w:tcW w:w="1314" w:type="dxa"/>
            <w:tcBorders>
              <w:top w:val="nil"/>
              <w:left w:val="nil"/>
              <w:bottom w:val="nil"/>
              <w:right w:val="nil"/>
            </w:tcBorders>
            <w:shd w:val="clear" w:color="auto" w:fill="auto"/>
            <w:noWrap/>
            <w:vAlign w:val="bottom"/>
            <w:hideMark/>
          </w:tcPr>
          <w:p w14:paraId="37B3D1FA" w14:textId="77777777" w:rsidR="00515DFA" w:rsidRPr="00812318" w:rsidRDefault="00515DFA" w:rsidP="001A5B77">
            <w:pPr>
              <w:spacing w:after="0" w:line="240" w:lineRule="auto"/>
              <w:jc w:val="center"/>
              <w:rPr>
                <w:rFonts w:ascii="Arial" w:eastAsia="Times New Roman" w:hAnsi="Arial" w:cs="Arial"/>
                <w:color w:val="000000"/>
              </w:rPr>
            </w:pPr>
          </w:p>
        </w:tc>
        <w:tc>
          <w:tcPr>
            <w:tcW w:w="1293" w:type="dxa"/>
            <w:tcBorders>
              <w:top w:val="nil"/>
              <w:left w:val="nil"/>
              <w:bottom w:val="nil"/>
              <w:right w:val="nil"/>
            </w:tcBorders>
            <w:shd w:val="clear" w:color="auto" w:fill="auto"/>
            <w:noWrap/>
            <w:vAlign w:val="bottom"/>
            <w:hideMark/>
          </w:tcPr>
          <w:p w14:paraId="088B22B0" w14:textId="77777777" w:rsidR="00515DFA" w:rsidRPr="00812318" w:rsidRDefault="00515DFA" w:rsidP="001A5B77">
            <w:pPr>
              <w:spacing w:after="0" w:line="240" w:lineRule="auto"/>
              <w:jc w:val="cente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5CBE7C9F" w14:textId="77777777" w:rsidR="00515DFA" w:rsidRPr="00812318" w:rsidRDefault="00515DFA" w:rsidP="001A5B77">
            <w:pPr>
              <w:spacing w:after="0" w:line="240" w:lineRule="auto"/>
              <w:jc w:val="center"/>
              <w:rPr>
                <w:rFonts w:ascii="Times New Roman" w:eastAsia="Times New Roman" w:hAnsi="Times New Roman" w:cs="Times New Roman"/>
                <w:sz w:val="20"/>
                <w:szCs w:val="20"/>
              </w:rPr>
            </w:pPr>
          </w:p>
        </w:tc>
        <w:tc>
          <w:tcPr>
            <w:tcW w:w="1396" w:type="dxa"/>
            <w:tcBorders>
              <w:top w:val="nil"/>
              <w:left w:val="nil"/>
              <w:bottom w:val="nil"/>
              <w:right w:val="nil"/>
            </w:tcBorders>
            <w:shd w:val="clear" w:color="auto" w:fill="auto"/>
            <w:noWrap/>
            <w:vAlign w:val="bottom"/>
            <w:hideMark/>
          </w:tcPr>
          <w:p w14:paraId="12BFD2EE" w14:textId="77777777" w:rsidR="00515DFA" w:rsidRPr="00812318" w:rsidRDefault="00515DFA" w:rsidP="001A5B77">
            <w:pPr>
              <w:spacing w:after="0" w:line="240" w:lineRule="auto"/>
              <w:jc w:val="center"/>
              <w:rPr>
                <w:rFonts w:ascii="Times New Roman" w:eastAsia="Times New Roman" w:hAnsi="Times New Roman" w:cs="Times New Roman"/>
                <w:sz w:val="20"/>
                <w:szCs w:val="20"/>
              </w:rPr>
            </w:pPr>
          </w:p>
        </w:tc>
        <w:tc>
          <w:tcPr>
            <w:tcW w:w="2362" w:type="dxa"/>
            <w:tcBorders>
              <w:top w:val="nil"/>
              <w:left w:val="nil"/>
              <w:bottom w:val="nil"/>
              <w:right w:val="nil"/>
            </w:tcBorders>
            <w:shd w:val="clear" w:color="auto" w:fill="auto"/>
            <w:noWrap/>
            <w:vAlign w:val="bottom"/>
            <w:hideMark/>
          </w:tcPr>
          <w:p w14:paraId="640BAEE7" w14:textId="77777777" w:rsidR="00515DFA" w:rsidRPr="00812318" w:rsidRDefault="00515DFA" w:rsidP="001A5B77">
            <w:pPr>
              <w:spacing w:after="0" w:line="240" w:lineRule="auto"/>
              <w:jc w:val="center"/>
              <w:rPr>
                <w:rFonts w:ascii="Times New Roman" w:eastAsia="Times New Roman" w:hAnsi="Times New Roman" w:cs="Times New Roman"/>
                <w:sz w:val="20"/>
                <w:szCs w:val="20"/>
              </w:rPr>
            </w:pPr>
          </w:p>
        </w:tc>
        <w:tc>
          <w:tcPr>
            <w:tcW w:w="1581" w:type="dxa"/>
            <w:tcBorders>
              <w:top w:val="nil"/>
              <w:left w:val="nil"/>
              <w:bottom w:val="nil"/>
              <w:right w:val="nil"/>
            </w:tcBorders>
            <w:shd w:val="clear" w:color="auto" w:fill="auto"/>
            <w:noWrap/>
            <w:vAlign w:val="bottom"/>
            <w:hideMark/>
          </w:tcPr>
          <w:p w14:paraId="2F41C7D5" w14:textId="77777777" w:rsidR="00515DFA" w:rsidRPr="00812318" w:rsidRDefault="00515DFA" w:rsidP="001A5B77">
            <w:pPr>
              <w:spacing w:after="0" w:line="240" w:lineRule="auto"/>
              <w:jc w:val="center"/>
              <w:rPr>
                <w:rFonts w:ascii="Times New Roman" w:eastAsia="Times New Roman" w:hAnsi="Times New Roman" w:cs="Times New Roman"/>
                <w:sz w:val="20"/>
                <w:szCs w:val="20"/>
              </w:rPr>
            </w:pPr>
          </w:p>
        </w:tc>
      </w:tr>
      <w:tr w:rsidR="00515DFA" w:rsidRPr="00812318" w14:paraId="6DC0FC7D" w14:textId="77777777" w:rsidTr="001A5B77">
        <w:trPr>
          <w:trHeight w:val="327"/>
        </w:trPr>
        <w:tc>
          <w:tcPr>
            <w:tcW w:w="7679" w:type="dxa"/>
            <w:gridSpan w:val="5"/>
            <w:tcBorders>
              <w:top w:val="nil"/>
              <w:left w:val="nil"/>
              <w:bottom w:val="single" w:sz="4" w:space="0" w:color="auto"/>
              <w:right w:val="nil"/>
            </w:tcBorders>
            <w:shd w:val="clear" w:color="auto" w:fill="FFF2CC" w:themeFill="accent4" w:themeFillTint="33"/>
            <w:noWrap/>
            <w:vAlign w:val="bottom"/>
            <w:hideMark/>
          </w:tcPr>
          <w:p w14:paraId="43242625"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25-day Gain(Loss)</w:t>
            </w:r>
          </w:p>
        </w:tc>
        <w:tc>
          <w:tcPr>
            <w:tcW w:w="1581" w:type="dxa"/>
            <w:tcBorders>
              <w:top w:val="nil"/>
              <w:left w:val="nil"/>
              <w:bottom w:val="single" w:sz="4" w:space="0" w:color="auto"/>
              <w:right w:val="nil"/>
            </w:tcBorders>
            <w:shd w:val="clear" w:color="auto" w:fill="FFF2CC" w:themeFill="accent4" w:themeFillTint="33"/>
            <w:noWrap/>
            <w:vAlign w:val="bottom"/>
            <w:hideMark/>
          </w:tcPr>
          <w:p w14:paraId="5CD836F3" w14:textId="77777777" w:rsidR="00515DFA" w:rsidRPr="00812318" w:rsidRDefault="00515DFA" w:rsidP="001A5B77">
            <w:pPr>
              <w:spacing w:after="0" w:line="240" w:lineRule="auto"/>
              <w:jc w:val="center"/>
              <w:rPr>
                <w:rFonts w:ascii="Arial" w:eastAsia="Times New Roman" w:hAnsi="Arial" w:cs="Arial"/>
                <w:b/>
                <w:bCs/>
                <w:color w:val="000000"/>
              </w:rPr>
            </w:pPr>
            <w:r w:rsidRPr="00812318">
              <w:rPr>
                <w:rFonts w:ascii="Arial" w:eastAsia="Times New Roman" w:hAnsi="Arial" w:cs="Arial"/>
                <w:b/>
                <w:bCs/>
                <w:color w:val="000000"/>
              </w:rPr>
              <w:t>-$25,862.07</w:t>
            </w:r>
          </w:p>
        </w:tc>
      </w:tr>
    </w:tbl>
    <w:p w14:paraId="1FA33D0D" w14:textId="77777777" w:rsidR="00515DFA" w:rsidRPr="00A36ED5" w:rsidRDefault="00515DFA" w:rsidP="00515DFA">
      <w:pPr>
        <w:spacing w:after="0" w:line="360" w:lineRule="auto"/>
        <w:jc w:val="both"/>
        <w:rPr>
          <w:rFonts w:ascii="Arial" w:hAnsi="Arial" w:cs="Arial"/>
          <w:sz w:val="20"/>
          <w:szCs w:val="20"/>
        </w:rPr>
      </w:pPr>
      <w:r w:rsidRPr="00A36ED5">
        <w:rPr>
          <w:rFonts w:ascii="Arial" w:hAnsi="Arial" w:cs="Arial"/>
          <w:sz w:val="20"/>
          <w:szCs w:val="20"/>
        </w:rPr>
        <w:t>*Calculated as GHS 5,650,000/each daily exchange rate</w:t>
      </w:r>
    </w:p>
    <w:p w14:paraId="5469D617" w14:textId="77777777" w:rsidR="00515DFA" w:rsidRPr="00A36ED5" w:rsidRDefault="00515DFA" w:rsidP="00515DFA">
      <w:pPr>
        <w:spacing w:after="0" w:line="360" w:lineRule="auto"/>
        <w:jc w:val="both"/>
        <w:rPr>
          <w:rFonts w:ascii="Arial" w:hAnsi="Arial" w:cs="Arial"/>
          <w:sz w:val="20"/>
          <w:szCs w:val="20"/>
        </w:rPr>
      </w:pPr>
      <w:r w:rsidRPr="00A36ED5">
        <w:rPr>
          <w:rFonts w:ascii="Arial" w:hAnsi="Arial" w:cs="Arial"/>
          <w:sz w:val="20"/>
          <w:szCs w:val="20"/>
        </w:rPr>
        <w:t>**Calculated as Daily USD Equivalence – $1,000,000</w:t>
      </w:r>
    </w:p>
    <w:p w14:paraId="7B471D4C" w14:textId="77777777" w:rsidR="00515DFA" w:rsidRDefault="00515DFA" w:rsidP="00515DFA">
      <w:pPr>
        <w:spacing w:after="0" w:line="360" w:lineRule="auto"/>
        <w:jc w:val="both"/>
        <w:rPr>
          <w:rFonts w:ascii="Arial" w:hAnsi="Arial" w:cs="Arial"/>
        </w:rPr>
      </w:pPr>
    </w:p>
    <w:p w14:paraId="723BF0DB" w14:textId="77777777" w:rsidR="00515DFA" w:rsidRDefault="00515DFA" w:rsidP="00515DFA">
      <w:pPr>
        <w:spacing w:after="0" w:line="360" w:lineRule="auto"/>
        <w:jc w:val="both"/>
        <w:rPr>
          <w:rFonts w:ascii="Arial" w:hAnsi="Arial" w:cs="Arial"/>
        </w:rPr>
      </w:pPr>
    </w:p>
    <w:p w14:paraId="0093F254" w14:textId="77777777" w:rsidR="00515DFA" w:rsidRPr="00AE730B" w:rsidRDefault="00515DFA" w:rsidP="00515DFA">
      <w:pPr>
        <w:spacing w:after="0" w:line="360" w:lineRule="auto"/>
        <w:jc w:val="both"/>
        <w:rPr>
          <w:rFonts w:ascii="Arial" w:hAnsi="Arial" w:cs="Arial"/>
          <w:sz w:val="20"/>
          <w:szCs w:val="20"/>
        </w:rPr>
      </w:pPr>
      <w:r w:rsidRPr="00AE730B">
        <w:rPr>
          <w:rFonts w:ascii="Arial" w:hAnsi="Arial" w:cs="Arial"/>
          <w:b/>
          <w:bCs/>
          <w:sz w:val="20"/>
          <w:szCs w:val="20"/>
        </w:rPr>
        <w:t>Table 3:</w:t>
      </w:r>
      <w:r w:rsidRPr="00AE730B">
        <w:rPr>
          <w:rFonts w:ascii="Arial" w:hAnsi="Arial" w:cs="Arial"/>
          <w:sz w:val="20"/>
          <w:szCs w:val="20"/>
        </w:rPr>
        <w:t xml:space="preserve"> Summary of speculation</w:t>
      </w:r>
    </w:p>
    <w:tbl>
      <w:tblPr>
        <w:tblStyle w:val="ListTable1Light-Accent3"/>
        <w:tblW w:w="7885" w:type="dxa"/>
        <w:tblLook w:val="04A0" w:firstRow="1" w:lastRow="0" w:firstColumn="1" w:lastColumn="0" w:noHBand="0" w:noVBand="1"/>
      </w:tblPr>
      <w:tblGrid>
        <w:gridCol w:w="4643"/>
        <w:gridCol w:w="3242"/>
      </w:tblGrid>
      <w:tr w:rsidR="00515DFA" w:rsidRPr="004C23EC" w14:paraId="590887FE" w14:textId="77777777" w:rsidTr="001A5B77">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643" w:type="dxa"/>
            <w:tcBorders>
              <w:top w:val="single" w:sz="4" w:space="0" w:color="auto"/>
            </w:tcBorders>
            <w:noWrap/>
            <w:hideMark/>
          </w:tcPr>
          <w:p w14:paraId="46C4423A"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Owned USD on 3/23/2020</w:t>
            </w:r>
            <w:r>
              <w:rPr>
                <w:rFonts w:ascii="Arial" w:eastAsia="Times New Roman" w:hAnsi="Arial" w:cs="Arial"/>
                <w:color w:val="000000"/>
              </w:rPr>
              <w:t xml:space="preserve"> (SR</w:t>
            </w:r>
            <w:r w:rsidRPr="00594D80">
              <w:rPr>
                <w:rFonts w:ascii="Arial" w:eastAsia="Times New Roman" w:hAnsi="Arial" w:cs="Arial"/>
                <w:color w:val="000000"/>
                <w:vertAlign w:val="subscript"/>
              </w:rPr>
              <w:t>Mar 23</w:t>
            </w:r>
            <w:r>
              <w:rPr>
                <w:rFonts w:ascii="Arial" w:eastAsia="Times New Roman" w:hAnsi="Arial" w:cs="Arial"/>
                <w:color w:val="000000"/>
              </w:rPr>
              <w:t>)</w:t>
            </w:r>
          </w:p>
        </w:tc>
        <w:tc>
          <w:tcPr>
            <w:tcW w:w="3242" w:type="dxa"/>
            <w:tcBorders>
              <w:top w:val="single" w:sz="4" w:space="0" w:color="auto"/>
            </w:tcBorders>
            <w:noWrap/>
            <w:hideMark/>
          </w:tcPr>
          <w:p w14:paraId="722D905F" w14:textId="77777777" w:rsidR="00515DFA" w:rsidRPr="004C23EC" w:rsidRDefault="00515DFA" w:rsidP="001A5B7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4C23EC">
              <w:rPr>
                <w:rFonts w:ascii="Arial" w:eastAsia="Times New Roman" w:hAnsi="Arial" w:cs="Arial"/>
                <w:b w:val="0"/>
                <w:bCs w:val="0"/>
                <w:color w:val="000000"/>
              </w:rPr>
              <w:t xml:space="preserve">$1,000,000.00 </w:t>
            </w:r>
          </w:p>
        </w:tc>
      </w:tr>
      <w:tr w:rsidR="00515DFA" w:rsidRPr="004C23EC" w14:paraId="00543667" w14:textId="77777777" w:rsidTr="001A5B7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643" w:type="dxa"/>
            <w:noWrap/>
            <w:hideMark/>
          </w:tcPr>
          <w:p w14:paraId="3756024D"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Bought GHS on 3/23/2020</w:t>
            </w:r>
          </w:p>
        </w:tc>
        <w:tc>
          <w:tcPr>
            <w:tcW w:w="3242" w:type="dxa"/>
            <w:noWrap/>
            <w:hideMark/>
          </w:tcPr>
          <w:p w14:paraId="79A31471" w14:textId="77777777" w:rsidR="00515DFA" w:rsidRPr="004C23EC" w:rsidRDefault="00515DFA" w:rsidP="001A5B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23EC">
              <w:rPr>
                <w:rFonts w:ascii="Arial" w:eastAsia="Times New Roman" w:hAnsi="Arial" w:cs="Arial"/>
                <w:color w:val="000000"/>
              </w:rPr>
              <w:t>GH¢ 5,650,000.00</w:t>
            </w:r>
          </w:p>
        </w:tc>
      </w:tr>
      <w:tr w:rsidR="00515DFA" w:rsidRPr="004C23EC" w14:paraId="633BA4A9" w14:textId="77777777" w:rsidTr="001A5B77">
        <w:trPr>
          <w:trHeight w:val="382"/>
        </w:trPr>
        <w:tc>
          <w:tcPr>
            <w:cnfStyle w:val="001000000000" w:firstRow="0" w:lastRow="0" w:firstColumn="1" w:lastColumn="0" w:oddVBand="0" w:evenVBand="0" w:oddHBand="0" w:evenHBand="0" w:firstRowFirstColumn="0" w:firstRowLastColumn="0" w:lastRowFirstColumn="0" w:lastRowLastColumn="0"/>
            <w:tcW w:w="4643" w:type="dxa"/>
            <w:noWrap/>
            <w:hideMark/>
          </w:tcPr>
          <w:p w14:paraId="39B7D0EE"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Sold GHS on 4/17/2020</w:t>
            </w:r>
            <w:r>
              <w:rPr>
                <w:rFonts w:ascii="Arial" w:eastAsia="Times New Roman" w:hAnsi="Arial" w:cs="Arial"/>
                <w:color w:val="000000"/>
              </w:rPr>
              <w:t xml:space="preserve"> (SR</w:t>
            </w:r>
            <w:r>
              <w:rPr>
                <w:rFonts w:ascii="Arial" w:eastAsia="Times New Roman" w:hAnsi="Arial" w:cs="Arial"/>
                <w:color w:val="000000"/>
                <w:vertAlign w:val="subscript"/>
              </w:rPr>
              <w:t>April</w:t>
            </w:r>
            <w:r w:rsidRPr="00594D80">
              <w:rPr>
                <w:rFonts w:ascii="Arial" w:eastAsia="Times New Roman" w:hAnsi="Arial" w:cs="Arial"/>
                <w:color w:val="000000"/>
                <w:vertAlign w:val="subscript"/>
              </w:rPr>
              <w:t xml:space="preserve"> </w:t>
            </w:r>
            <w:r>
              <w:rPr>
                <w:rFonts w:ascii="Arial" w:eastAsia="Times New Roman" w:hAnsi="Arial" w:cs="Arial"/>
                <w:color w:val="000000"/>
                <w:vertAlign w:val="subscript"/>
              </w:rPr>
              <w:t>17</w:t>
            </w:r>
            <w:r>
              <w:rPr>
                <w:rFonts w:ascii="Arial" w:eastAsia="Times New Roman" w:hAnsi="Arial" w:cs="Arial"/>
                <w:color w:val="000000"/>
              </w:rPr>
              <w:t>)</w:t>
            </w:r>
          </w:p>
        </w:tc>
        <w:tc>
          <w:tcPr>
            <w:tcW w:w="3242" w:type="dxa"/>
            <w:noWrap/>
            <w:hideMark/>
          </w:tcPr>
          <w:p w14:paraId="5BD70730" w14:textId="77777777" w:rsidR="00515DFA" w:rsidRPr="004C23EC" w:rsidRDefault="00515DFA" w:rsidP="001A5B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23EC">
              <w:rPr>
                <w:rFonts w:ascii="Arial" w:eastAsia="Times New Roman" w:hAnsi="Arial" w:cs="Arial"/>
                <w:color w:val="000000"/>
              </w:rPr>
              <w:t>$974,137.93</w:t>
            </w:r>
          </w:p>
        </w:tc>
      </w:tr>
      <w:tr w:rsidR="00515DFA" w:rsidRPr="004C23EC" w14:paraId="7D7FC9EB" w14:textId="77777777" w:rsidTr="001A5B7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643" w:type="dxa"/>
            <w:noWrap/>
            <w:hideMark/>
          </w:tcPr>
          <w:p w14:paraId="0228DAA3"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Loss</w:t>
            </w:r>
            <w:r>
              <w:rPr>
                <w:rFonts w:ascii="Arial" w:eastAsia="Times New Roman" w:hAnsi="Arial" w:cs="Arial"/>
                <w:color w:val="000000"/>
              </w:rPr>
              <w:t>*</w:t>
            </w:r>
          </w:p>
        </w:tc>
        <w:tc>
          <w:tcPr>
            <w:tcW w:w="3242" w:type="dxa"/>
            <w:noWrap/>
            <w:hideMark/>
          </w:tcPr>
          <w:p w14:paraId="745860A0" w14:textId="77777777" w:rsidR="00515DFA" w:rsidRPr="004C23EC" w:rsidRDefault="00515DFA" w:rsidP="001A5B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23EC">
              <w:rPr>
                <w:rFonts w:ascii="Arial" w:eastAsia="Times New Roman" w:hAnsi="Arial" w:cs="Arial"/>
                <w:color w:val="000000"/>
              </w:rPr>
              <w:t>-$25,862.07</w:t>
            </w:r>
          </w:p>
        </w:tc>
      </w:tr>
      <w:tr w:rsidR="00515DFA" w:rsidRPr="004C23EC" w14:paraId="69EBC907" w14:textId="77777777" w:rsidTr="001A5B77">
        <w:trPr>
          <w:trHeight w:val="382"/>
        </w:trPr>
        <w:tc>
          <w:tcPr>
            <w:cnfStyle w:val="001000000000" w:firstRow="0" w:lastRow="0" w:firstColumn="1" w:lastColumn="0" w:oddVBand="0" w:evenVBand="0" w:oddHBand="0" w:evenHBand="0" w:firstRowFirstColumn="0" w:firstRowLastColumn="0" w:lastRowFirstColumn="0" w:lastRowLastColumn="0"/>
            <w:tcW w:w="4643" w:type="dxa"/>
            <w:noWrap/>
            <w:hideMark/>
          </w:tcPr>
          <w:p w14:paraId="2A722D97"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Return</w:t>
            </w:r>
            <w:r w:rsidRPr="005A6E87">
              <w:rPr>
                <w:rFonts w:ascii="Arial" w:eastAsia="Times New Roman" w:hAnsi="Arial" w:cs="Arial"/>
                <w:color w:val="000000"/>
              </w:rPr>
              <w:t>*</w:t>
            </w:r>
            <w:r>
              <w:rPr>
                <w:rFonts w:ascii="Arial" w:eastAsia="Times New Roman" w:hAnsi="Arial" w:cs="Arial"/>
                <w:color w:val="000000"/>
              </w:rPr>
              <w:t>*</w:t>
            </w:r>
          </w:p>
        </w:tc>
        <w:tc>
          <w:tcPr>
            <w:tcW w:w="3242" w:type="dxa"/>
            <w:noWrap/>
            <w:hideMark/>
          </w:tcPr>
          <w:p w14:paraId="794BBF03" w14:textId="77777777" w:rsidR="00515DFA" w:rsidRPr="004C23EC" w:rsidRDefault="00515DFA" w:rsidP="001A5B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23EC">
              <w:rPr>
                <w:rFonts w:ascii="Arial" w:eastAsia="Times New Roman" w:hAnsi="Arial" w:cs="Arial"/>
                <w:color w:val="000000"/>
              </w:rPr>
              <w:t>-2.59%</w:t>
            </w:r>
          </w:p>
        </w:tc>
      </w:tr>
      <w:tr w:rsidR="00515DFA" w:rsidRPr="004C23EC" w14:paraId="5FCD62F4" w14:textId="77777777" w:rsidTr="001A5B7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4643" w:type="dxa"/>
            <w:noWrap/>
            <w:hideMark/>
          </w:tcPr>
          <w:p w14:paraId="158C03F6"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Number of days</w:t>
            </w:r>
          </w:p>
        </w:tc>
        <w:tc>
          <w:tcPr>
            <w:tcW w:w="3242" w:type="dxa"/>
            <w:noWrap/>
            <w:hideMark/>
          </w:tcPr>
          <w:p w14:paraId="3780B5DB" w14:textId="77777777" w:rsidR="00515DFA" w:rsidRPr="004C23EC" w:rsidRDefault="00515DFA" w:rsidP="001A5B7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23EC">
              <w:rPr>
                <w:rFonts w:ascii="Arial" w:eastAsia="Times New Roman" w:hAnsi="Arial" w:cs="Arial"/>
                <w:color w:val="000000"/>
              </w:rPr>
              <w:t>25</w:t>
            </w:r>
          </w:p>
        </w:tc>
      </w:tr>
      <w:tr w:rsidR="00515DFA" w:rsidRPr="004C23EC" w14:paraId="3262900B" w14:textId="77777777" w:rsidTr="001A5B77">
        <w:trPr>
          <w:trHeight w:val="382"/>
        </w:trPr>
        <w:tc>
          <w:tcPr>
            <w:cnfStyle w:val="001000000000" w:firstRow="0" w:lastRow="0" w:firstColumn="1" w:lastColumn="0" w:oddVBand="0" w:evenVBand="0" w:oddHBand="0" w:evenHBand="0" w:firstRowFirstColumn="0" w:firstRowLastColumn="0" w:lastRowFirstColumn="0" w:lastRowLastColumn="0"/>
            <w:tcW w:w="4643" w:type="dxa"/>
            <w:tcBorders>
              <w:bottom w:val="single" w:sz="4" w:space="0" w:color="auto"/>
            </w:tcBorders>
            <w:noWrap/>
            <w:hideMark/>
          </w:tcPr>
          <w:p w14:paraId="655A2705" w14:textId="77777777" w:rsidR="00515DFA" w:rsidRPr="004C23EC" w:rsidRDefault="00515DFA" w:rsidP="001A5B77">
            <w:pPr>
              <w:jc w:val="center"/>
              <w:rPr>
                <w:rFonts w:ascii="Arial" w:eastAsia="Times New Roman" w:hAnsi="Arial" w:cs="Arial"/>
                <w:color w:val="000000"/>
              </w:rPr>
            </w:pPr>
            <w:r w:rsidRPr="004C23EC">
              <w:rPr>
                <w:rFonts w:ascii="Arial" w:eastAsia="Times New Roman" w:hAnsi="Arial" w:cs="Arial"/>
                <w:color w:val="000000"/>
              </w:rPr>
              <w:t>Annualized Return</w:t>
            </w:r>
            <w:r w:rsidRPr="005A6E87">
              <w:rPr>
                <w:rFonts w:ascii="Arial" w:eastAsia="Times New Roman" w:hAnsi="Arial" w:cs="Arial"/>
                <w:color w:val="000000"/>
              </w:rPr>
              <w:t>**</w:t>
            </w:r>
            <w:r>
              <w:rPr>
                <w:rFonts w:ascii="Arial" w:eastAsia="Times New Roman" w:hAnsi="Arial" w:cs="Arial"/>
                <w:color w:val="000000"/>
              </w:rPr>
              <w:t>*</w:t>
            </w:r>
          </w:p>
        </w:tc>
        <w:tc>
          <w:tcPr>
            <w:tcW w:w="3242" w:type="dxa"/>
            <w:tcBorders>
              <w:bottom w:val="single" w:sz="4" w:space="0" w:color="auto"/>
            </w:tcBorders>
            <w:noWrap/>
            <w:hideMark/>
          </w:tcPr>
          <w:p w14:paraId="4E97D8BC" w14:textId="77777777" w:rsidR="00515DFA" w:rsidRPr="004C23EC" w:rsidRDefault="00515DFA" w:rsidP="001A5B7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23EC">
              <w:rPr>
                <w:rFonts w:ascii="Arial" w:eastAsia="Times New Roman" w:hAnsi="Arial" w:cs="Arial"/>
                <w:color w:val="000000"/>
              </w:rPr>
              <w:t>-37.76%</w:t>
            </w:r>
          </w:p>
        </w:tc>
      </w:tr>
    </w:tbl>
    <w:p w14:paraId="0A3CD77B" w14:textId="77777777" w:rsidR="00515DFA" w:rsidRDefault="00515DFA" w:rsidP="00515DFA">
      <w:pPr>
        <w:spacing w:after="0" w:line="360" w:lineRule="auto"/>
        <w:jc w:val="both"/>
        <w:rPr>
          <w:rFonts w:ascii="Arial" w:eastAsia="Times New Roman" w:hAnsi="Arial" w:cs="Arial"/>
          <w:color w:val="000000"/>
          <w:sz w:val="20"/>
          <w:szCs w:val="20"/>
        </w:rPr>
      </w:pPr>
      <w:r w:rsidRPr="00F616B9">
        <w:rPr>
          <w:rFonts w:ascii="Arial" w:hAnsi="Arial" w:cs="Arial"/>
          <w:sz w:val="20"/>
          <w:szCs w:val="20"/>
        </w:rPr>
        <w:t xml:space="preserve">*Loss was calculated as: </w:t>
      </w:r>
      <w:r w:rsidRPr="00F616B9">
        <w:rPr>
          <w:rFonts w:ascii="Arial" w:eastAsia="Times New Roman" w:hAnsi="Arial" w:cs="Arial"/>
          <w:color w:val="000000"/>
          <w:sz w:val="20"/>
          <w:szCs w:val="20"/>
        </w:rPr>
        <w:t>SR</w:t>
      </w:r>
      <w:r w:rsidRPr="00F616B9">
        <w:rPr>
          <w:rFonts w:ascii="Arial" w:eastAsia="Times New Roman" w:hAnsi="Arial" w:cs="Arial"/>
          <w:color w:val="000000"/>
          <w:sz w:val="20"/>
          <w:szCs w:val="20"/>
          <w:vertAlign w:val="subscript"/>
        </w:rPr>
        <w:t>April 17</w:t>
      </w:r>
      <w:r w:rsidRPr="00F616B9">
        <w:rPr>
          <w:rFonts w:ascii="Arial" w:eastAsia="Times New Roman" w:hAnsi="Arial" w:cs="Arial"/>
          <w:color w:val="000000"/>
          <w:sz w:val="20"/>
          <w:szCs w:val="20"/>
        </w:rPr>
        <w:t xml:space="preserve"> </w:t>
      </w:r>
      <w:r w:rsidRPr="00F616B9">
        <w:rPr>
          <w:rFonts w:ascii="Arial" w:hAnsi="Arial" w:cs="Arial"/>
          <w:sz w:val="18"/>
          <w:szCs w:val="18"/>
        </w:rPr>
        <w:t xml:space="preserve">– </w:t>
      </w:r>
      <w:r w:rsidRPr="00F616B9">
        <w:rPr>
          <w:rFonts w:ascii="Arial" w:eastAsia="Times New Roman" w:hAnsi="Arial" w:cs="Arial"/>
          <w:color w:val="000000"/>
          <w:sz w:val="20"/>
          <w:szCs w:val="20"/>
        </w:rPr>
        <w:t>SR</w:t>
      </w:r>
      <w:r w:rsidRPr="00F616B9">
        <w:rPr>
          <w:rFonts w:ascii="Arial" w:eastAsia="Times New Roman" w:hAnsi="Arial" w:cs="Arial"/>
          <w:color w:val="000000"/>
          <w:sz w:val="20"/>
          <w:szCs w:val="20"/>
          <w:vertAlign w:val="subscript"/>
        </w:rPr>
        <w:t>Mar 23</w:t>
      </w:r>
      <w:r w:rsidRPr="00F616B9">
        <w:rPr>
          <w:rFonts w:ascii="Arial" w:eastAsia="Times New Roman" w:hAnsi="Arial" w:cs="Arial"/>
          <w:color w:val="000000"/>
          <w:sz w:val="20"/>
          <w:szCs w:val="20"/>
        </w:rPr>
        <w:t xml:space="preserve"> </w:t>
      </w:r>
    </w:p>
    <w:p w14:paraId="5B234939" w14:textId="77777777" w:rsidR="00515DFA" w:rsidRDefault="00515DFA" w:rsidP="00515DFA">
      <w:pPr>
        <w:spacing w:after="0" w:line="360" w:lineRule="auto"/>
        <w:jc w:val="both"/>
        <w:rPr>
          <w:rFonts w:ascii="Arial" w:hAnsi="Arial" w:cs="Arial"/>
          <w:sz w:val="20"/>
          <w:szCs w:val="20"/>
        </w:rPr>
      </w:pPr>
      <w:r>
        <w:rPr>
          <w:rFonts w:ascii="Arial" w:hAnsi="Arial" w:cs="Arial"/>
          <w:sz w:val="20"/>
          <w:szCs w:val="20"/>
        </w:rPr>
        <w:t>**Return was calculated as: (Loss/SR</w:t>
      </w:r>
      <w:r w:rsidRPr="007B4311">
        <w:rPr>
          <w:rFonts w:ascii="Arial" w:hAnsi="Arial" w:cs="Arial"/>
          <w:sz w:val="20"/>
          <w:szCs w:val="20"/>
          <w:vertAlign w:val="subscript"/>
        </w:rPr>
        <w:t>Mar 23</w:t>
      </w:r>
      <w:r>
        <w:rPr>
          <w:rFonts w:ascii="Arial" w:hAnsi="Arial" w:cs="Arial"/>
          <w:sz w:val="20"/>
          <w:szCs w:val="20"/>
        </w:rPr>
        <w:t>) x 100</w:t>
      </w:r>
    </w:p>
    <w:p w14:paraId="73BCEABE" w14:textId="77777777" w:rsidR="00515DFA" w:rsidRPr="00F616B9" w:rsidRDefault="00515DFA" w:rsidP="00515DFA">
      <w:pPr>
        <w:spacing w:after="0" w:line="360" w:lineRule="auto"/>
        <w:jc w:val="both"/>
        <w:rPr>
          <w:rFonts w:ascii="Arial" w:hAnsi="Arial" w:cs="Arial"/>
          <w:sz w:val="20"/>
          <w:szCs w:val="20"/>
        </w:rPr>
      </w:pPr>
      <w:r>
        <w:rPr>
          <w:rFonts w:ascii="Arial" w:hAnsi="Arial" w:cs="Arial"/>
          <w:sz w:val="20"/>
          <w:szCs w:val="20"/>
        </w:rPr>
        <w:t>***Annualized return was calculated as: (Return) x (365/25 days)</w:t>
      </w:r>
    </w:p>
    <w:p w14:paraId="31866F77" w14:textId="77777777" w:rsidR="00515DFA" w:rsidRDefault="00515DFA" w:rsidP="00515DFA">
      <w:pPr>
        <w:spacing w:after="0" w:line="360" w:lineRule="auto"/>
        <w:jc w:val="both"/>
        <w:rPr>
          <w:rFonts w:ascii="Arial" w:hAnsi="Arial" w:cs="Arial"/>
        </w:rPr>
      </w:pPr>
      <w:r w:rsidRPr="00FF76C4">
        <w:rPr>
          <w:rFonts w:ascii="Arial" w:hAnsi="Arial" w:cs="Arial"/>
          <w:b/>
          <w:bCs/>
        </w:rPr>
        <w:lastRenderedPageBreak/>
        <w:t>Tables 2 and 3</w:t>
      </w:r>
      <w:r>
        <w:rPr>
          <w:rFonts w:ascii="Arial" w:hAnsi="Arial" w:cs="Arial"/>
        </w:rPr>
        <w:t xml:space="preserve"> contains details regarding the outcomes of my currency speculation. As shown, my prediction was totally wrong, and the GHS actually ended up depreciating considerably against the dollar during the period involved. Consequently, I loss a huge amount of more than $25,000 in the transaction, resulting in a very high negative annualized return of almost -40%. This project overall reflects the dangers and risks in currency speculation. Had I been right with my speculation, things would have turned out differently with me gaining profit in the transaction. It seems the very reason I founded my long position on must have been the same reason upon which I lost. My reasoning was that the corona crises was hitting the U.S hard and its economy was bound to suffer, ensuring that the GHS, which was already slightly appreciating against the dollar for most part of the beginning of the year, will do even better. As things turned out, Ghana also started having its own corona virus crisis shortly after, leading to the country shutting down its airport and instituting lockdowns and stay-at-home orders in major cities. Therefore, the uncertainties surrounding the effects of the crisis on Ghana’s economy likely contributed to the depreciation of the Ghanaian cedi against the dollar during the time. According to a very recent analysis by Deloitte, among the economic impact of the corona crisis on Ghana includes plummeting of estimated GDP growth of the country from the target of about 6.8% to 2.6% in 2020. Furthermore, disruption in the global supply chain is causing adverse declines in trading volumes and values, which is not good for a country that relies heavily on imports. Other effects of the corona crisis include contraction in Foreign Direct Investment (FDI) flows to Ghana, disruption of agriculture value chain, and shortage in supply of FX due to investor capital flight and decrease in exports. Overall, these factors likely contributed to the sudden high depreciation of the GHS against the USD during the period. Without any clear end in sight for the corona crises, it seems the GHS will most likely continue this trend against the dollar for the rest of the year. </w:t>
      </w:r>
    </w:p>
    <w:p w14:paraId="0D6EE633" w14:textId="77777777" w:rsidR="00515DFA" w:rsidRDefault="00515DFA" w:rsidP="00515DFA">
      <w:pPr>
        <w:spacing w:after="0" w:line="360" w:lineRule="auto"/>
        <w:jc w:val="both"/>
        <w:rPr>
          <w:rFonts w:ascii="Arial" w:hAnsi="Arial" w:cs="Arial"/>
        </w:rPr>
      </w:pPr>
    </w:p>
    <w:p w14:paraId="7281EE51" w14:textId="77777777" w:rsidR="00515DFA" w:rsidRPr="00831E6C" w:rsidRDefault="00515DFA" w:rsidP="00515DFA">
      <w:pPr>
        <w:spacing w:after="0" w:line="360" w:lineRule="auto"/>
        <w:jc w:val="both"/>
        <w:rPr>
          <w:rFonts w:ascii="Arial" w:hAnsi="Arial" w:cs="Arial"/>
          <w:b/>
          <w:bCs/>
        </w:rPr>
      </w:pPr>
      <w:r w:rsidRPr="00831E6C">
        <w:rPr>
          <w:rFonts w:ascii="Arial" w:hAnsi="Arial" w:cs="Arial"/>
          <w:b/>
          <w:bCs/>
        </w:rPr>
        <w:t>Hedging</w:t>
      </w:r>
    </w:p>
    <w:p w14:paraId="7DA097AD" w14:textId="77777777" w:rsidR="00515DFA" w:rsidRDefault="00515DFA" w:rsidP="00515DFA">
      <w:pPr>
        <w:spacing w:after="0" w:line="360" w:lineRule="auto"/>
        <w:jc w:val="both"/>
        <w:rPr>
          <w:rFonts w:ascii="Arial" w:hAnsi="Arial" w:cs="Arial"/>
        </w:rPr>
      </w:pPr>
      <w:r>
        <w:rPr>
          <w:rFonts w:ascii="Arial" w:hAnsi="Arial" w:cs="Arial"/>
        </w:rPr>
        <w:t xml:space="preserve">Currency speculation and FOREX trading/investment all come with risks as demonstrated in my speculation project above. One major risk is currency fluctuations. </w:t>
      </w:r>
      <w:r w:rsidRPr="00235109">
        <w:rPr>
          <w:rFonts w:ascii="Arial" w:hAnsi="Arial" w:cs="Arial"/>
        </w:rPr>
        <w:t>Currency hedging is a strategy designed to mitigate the impact of currency or foreign exchange risk on international investments return</w:t>
      </w:r>
      <w:r>
        <w:rPr>
          <w:rFonts w:ascii="Arial" w:hAnsi="Arial" w:cs="Arial"/>
        </w:rPr>
        <w:t xml:space="preserve">, and allows investors to </w:t>
      </w:r>
      <w:r w:rsidRPr="00002E58">
        <w:rPr>
          <w:rFonts w:ascii="Arial" w:hAnsi="Arial" w:cs="Arial"/>
        </w:rPr>
        <w:t>target local equity returns of international markets</w:t>
      </w:r>
      <w:r>
        <w:rPr>
          <w:rFonts w:ascii="Arial" w:hAnsi="Arial" w:cs="Arial"/>
        </w:rPr>
        <w:t>. Popular methods for hedging currency include forward contracts, spot contracts, and foreign currency options. A forward contract is a contract to buy or sell specific goods now for future delivery at an agreed upon price, and is one of more popular forms of hedging.</w:t>
      </w:r>
    </w:p>
    <w:p w14:paraId="14E7CA9A" w14:textId="77777777" w:rsidR="00515DFA" w:rsidRDefault="00515DFA" w:rsidP="00515DFA">
      <w:pPr>
        <w:spacing w:after="0" w:line="360" w:lineRule="auto"/>
        <w:jc w:val="both"/>
        <w:rPr>
          <w:rFonts w:ascii="Arial" w:hAnsi="Arial" w:cs="Arial"/>
        </w:rPr>
      </w:pPr>
    </w:p>
    <w:p w14:paraId="1B542813" w14:textId="77777777" w:rsidR="00515DFA" w:rsidRDefault="00515DFA" w:rsidP="00515DFA">
      <w:pPr>
        <w:spacing w:after="0" w:line="360" w:lineRule="auto"/>
        <w:jc w:val="both"/>
        <w:rPr>
          <w:rFonts w:ascii="Arial" w:hAnsi="Arial" w:cs="Arial"/>
        </w:rPr>
      </w:pPr>
      <w:r>
        <w:rPr>
          <w:rFonts w:ascii="Arial" w:hAnsi="Arial" w:cs="Arial"/>
        </w:rPr>
        <w:lastRenderedPageBreak/>
        <w:t>Assuming I was a U.S importer of cars from say Japan, I will enter into a forward contract with my bank and exchange the $1,000,000 into Yen for delivery to my Japan partners in 3 months. As part of the contract, I will pay an upfront transaction fee of 1.5% ($15,000), which ensures that the exchange rate is fixed to a particular determined rate. This contract rate is simply determined by the relationship: 1 unit of USD + interest rate in US = 1 unit of Yen + interest rate in Japan. Therefore, assuming that the current USD/Yen exchange rate is 1 USD = 105 Yen, then using the current U.S interest rate of 0.25% and the Japan interest rate of -0.1%, it implies that:</w:t>
      </w:r>
    </w:p>
    <w:p w14:paraId="0692283D" w14:textId="77777777" w:rsidR="00515DFA" w:rsidRDefault="00515DFA" w:rsidP="00515DFA">
      <w:pPr>
        <w:spacing w:after="0" w:line="360" w:lineRule="auto"/>
        <w:jc w:val="both"/>
        <w:rPr>
          <w:rFonts w:ascii="Arial" w:hAnsi="Arial" w:cs="Arial"/>
        </w:rPr>
      </w:pPr>
    </w:p>
    <w:p w14:paraId="301E5CA4" w14:textId="77777777" w:rsidR="00515DFA" w:rsidRDefault="00515DFA" w:rsidP="00515DFA">
      <w:pPr>
        <w:spacing w:after="0" w:line="360" w:lineRule="auto"/>
        <w:jc w:val="both"/>
        <w:rPr>
          <w:rFonts w:ascii="Arial" w:hAnsi="Arial" w:cs="Arial"/>
        </w:rPr>
      </w:pPr>
      <w:r>
        <w:rPr>
          <w:rFonts w:ascii="Arial" w:hAnsi="Arial" w:cs="Arial"/>
        </w:rPr>
        <w:t>1 USD + 0.0025 = 105 Yen – 0.001%</w:t>
      </w:r>
    </w:p>
    <w:p w14:paraId="17D4C710" w14:textId="77777777" w:rsidR="00515DFA" w:rsidRDefault="00515DFA" w:rsidP="00515DFA">
      <w:pPr>
        <w:spacing w:after="0" w:line="360" w:lineRule="auto"/>
        <w:jc w:val="both"/>
        <w:rPr>
          <w:rFonts w:ascii="Arial" w:hAnsi="Arial" w:cs="Arial"/>
        </w:rPr>
      </w:pPr>
      <w:r>
        <w:rPr>
          <w:rFonts w:ascii="Arial" w:hAnsi="Arial" w:cs="Arial"/>
        </w:rPr>
        <w:t>Therefore,  1.0025 USD = 104.999 Yen</w:t>
      </w:r>
    </w:p>
    <w:p w14:paraId="58E56F3A" w14:textId="77777777" w:rsidR="00515DFA" w:rsidRDefault="00515DFA" w:rsidP="00515DFA">
      <w:pPr>
        <w:spacing w:after="0" w:line="360" w:lineRule="auto"/>
        <w:jc w:val="both"/>
        <w:rPr>
          <w:rFonts w:ascii="Arial" w:hAnsi="Arial" w:cs="Arial"/>
        </w:rPr>
      </w:pPr>
      <w:r>
        <w:rPr>
          <w:rFonts w:ascii="Arial" w:hAnsi="Arial" w:cs="Arial"/>
        </w:rPr>
        <w:t>Therefore, 1 USD = 104.999/1.0025 = 104.737</w:t>
      </w:r>
    </w:p>
    <w:p w14:paraId="74E8E9AC" w14:textId="77777777" w:rsidR="00515DFA" w:rsidRDefault="00515DFA" w:rsidP="00515DFA">
      <w:pPr>
        <w:spacing w:after="0" w:line="360" w:lineRule="auto"/>
        <w:jc w:val="both"/>
        <w:rPr>
          <w:rFonts w:ascii="Arial" w:hAnsi="Arial" w:cs="Arial"/>
        </w:rPr>
      </w:pPr>
    </w:p>
    <w:p w14:paraId="26595104" w14:textId="77777777" w:rsidR="00515DFA" w:rsidRDefault="00515DFA" w:rsidP="00515DFA">
      <w:pPr>
        <w:spacing w:after="0" w:line="360" w:lineRule="auto"/>
        <w:jc w:val="both"/>
        <w:rPr>
          <w:rFonts w:ascii="Arial" w:hAnsi="Arial" w:cs="Arial"/>
        </w:rPr>
      </w:pPr>
      <w:r>
        <w:rPr>
          <w:rFonts w:ascii="Arial" w:hAnsi="Arial" w:cs="Arial"/>
        </w:rPr>
        <w:t>The forward contract exchange rate will therefore be set to 104.737, which is lower than the current spot rate of the Yen as a result of the lower and negative interest rate in Japan currently compared to the U.S (likely caused by the corona virus crisis). With this predetermined rate, my partners in Japan will receive 104,737,000 Yen in three months, irrespective of any currency fluctuations during the 3 months. Alternatively, I can agree with my bank for the 3-month forward rate to be fixed to the spot rate, which will be the rate to be used in the contract. In either case, hedging protects the me as a company and ensures I do not lose any money should the interest rate or exchange rate change abruptly between the two countries during the time.</w:t>
      </w:r>
    </w:p>
    <w:p w14:paraId="4B85BEB9" w14:textId="77777777" w:rsidR="00515DFA" w:rsidRDefault="00515DFA" w:rsidP="00515DFA">
      <w:pPr>
        <w:spacing w:after="0" w:line="360" w:lineRule="auto"/>
        <w:jc w:val="both"/>
        <w:rPr>
          <w:rFonts w:ascii="Arial" w:hAnsi="Arial" w:cs="Arial"/>
        </w:rPr>
      </w:pPr>
    </w:p>
    <w:p w14:paraId="64F2A8DB" w14:textId="77777777" w:rsidR="00515DFA" w:rsidRDefault="00515DFA" w:rsidP="00515DFA">
      <w:pPr>
        <w:spacing w:after="0" w:line="360" w:lineRule="auto"/>
        <w:jc w:val="both"/>
        <w:rPr>
          <w:rFonts w:ascii="Arial" w:hAnsi="Arial" w:cs="Arial"/>
        </w:rPr>
      </w:pPr>
      <w:r>
        <w:rPr>
          <w:rFonts w:ascii="Arial" w:hAnsi="Arial" w:cs="Arial"/>
        </w:rPr>
        <w:t xml:space="preserve">To further illustrate the benefits of using a forward contract, assuming that the Yen appreciates by 20% during the time, then the USD/Yen rate will be 1 USD = 87.281 Yen (assuming the USD value is constant during the period). Without the forward contract, I will incur an additional cost of $199,997.71 (that is, 104,737,000/87.281 – 1,000,000.00)) compared to the anticipated original payment of $1,000,000. By using the forward contract, I incur the transaction cost of $15,000 (calculated above), resulting a total cost to me of $1,015,000.00. Therefore, compared with the scenario where I do not use hedging, I’m saving $1,199,997.71 - $1,015,000.00 = $184,997.7086. Overall, the cost of hedging as a percent of the total volume of the import transaction will be about 1.5% (=15,000/1,015,000), whereas the cost of not hedging as a percent of the total costs of not hedging assuming a 20% appreciation of the Yen during the period will be about 17%. </w:t>
      </w:r>
    </w:p>
    <w:p w14:paraId="4C44B7BE" w14:textId="77777777" w:rsidR="00515DFA" w:rsidRDefault="00515DFA" w:rsidP="00515DFA">
      <w:pPr>
        <w:spacing w:after="0" w:line="360" w:lineRule="auto"/>
        <w:jc w:val="both"/>
        <w:rPr>
          <w:rFonts w:ascii="Arial" w:hAnsi="Arial" w:cs="Arial"/>
        </w:rPr>
      </w:pPr>
    </w:p>
    <w:p w14:paraId="0349DA3B" w14:textId="77777777" w:rsidR="00515DFA" w:rsidRDefault="00515DFA" w:rsidP="00515DFA">
      <w:pPr>
        <w:spacing w:after="0" w:line="360" w:lineRule="auto"/>
        <w:jc w:val="both"/>
        <w:rPr>
          <w:rFonts w:ascii="Arial" w:hAnsi="Arial" w:cs="Arial"/>
        </w:rPr>
      </w:pPr>
    </w:p>
    <w:p w14:paraId="4345B39E" w14:textId="77777777" w:rsidR="00515DFA" w:rsidRDefault="00515DFA" w:rsidP="00515DFA">
      <w:pPr>
        <w:spacing w:after="0" w:line="360" w:lineRule="auto"/>
        <w:jc w:val="both"/>
        <w:rPr>
          <w:rFonts w:ascii="Arial" w:hAnsi="Arial" w:cs="Arial"/>
        </w:rPr>
      </w:pPr>
    </w:p>
    <w:p w14:paraId="6408985A" w14:textId="77777777" w:rsidR="00515DFA" w:rsidRPr="00135C9B" w:rsidRDefault="00515DFA" w:rsidP="00515DFA">
      <w:pPr>
        <w:spacing w:after="0" w:line="360" w:lineRule="auto"/>
        <w:jc w:val="both"/>
        <w:rPr>
          <w:rFonts w:ascii="Arial" w:hAnsi="Arial" w:cs="Arial"/>
          <w:b/>
          <w:bCs/>
        </w:rPr>
      </w:pPr>
      <w:r w:rsidRPr="00135C9B">
        <w:rPr>
          <w:rFonts w:ascii="Arial" w:hAnsi="Arial" w:cs="Arial"/>
          <w:b/>
          <w:bCs/>
        </w:rPr>
        <w:lastRenderedPageBreak/>
        <w:t>References</w:t>
      </w:r>
    </w:p>
    <w:p w14:paraId="38C9B160" w14:textId="77777777" w:rsidR="00515DFA" w:rsidRDefault="00515DFA" w:rsidP="00515DFA">
      <w:pPr>
        <w:spacing w:after="0" w:line="360" w:lineRule="auto"/>
        <w:jc w:val="both"/>
        <w:rPr>
          <w:rFonts w:ascii="Arial" w:hAnsi="Arial" w:cs="Arial"/>
        </w:rPr>
      </w:pPr>
    </w:p>
    <w:p w14:paraId="2CA6934E" w14:textId="77777777" w:rsidR="00515DFA" w:rsidRPr="00ED749F" w:rsidRDefault="00515DFA" w:rsidP="00515DFA">
      <w:pPr>
        <w:pStyle w:val="ListParagraph"/>
        <w:numPr>
          <w:ilvl w:val="0"/>
          <w:numId w:val="1"/>
        </w:numPr>
        <w:spacing w:after="0" w:line="360" w:lineRule="auto"/>
        <w:jc w:val="both"/>
        <w:rPr>
          <w:rFonts w:ascii="Arial" w:hAnsi="Arial" w:cs="Arial"/>
        </w:rPr>
      </w:pPr>
      <w:hyperlink r:id="rId10" w:history="1">
        <w:r w:rsidRPr="00ED749F">
          <w:rPr>
            <w:rStyle w:val="Hyperlink"/>
            <w:rFonts w:ascii="Arial" w:hAnsi="Arial" w:cs="Arial"/>
          </w:rPr>
          <w:t>https://www.wsj.com/market-data/quotes/fx/USDGHS/</w:t>
        </w:r>
      </w:hyperlink>
      <w:r w:rsidRPr="00ED749F">
        <w:rPr>
          <w:rFonts w:ascii="Arial" w:hAnsi="Arial" w:cs="Arial"/>
        </w:rPr>
        <w:t>. Assessed on 4/20/2020</w:t>
      </w:r>
    </w:p>
    <w:p w14:paraId="0D6DF29A" w14:textId="77777777" w:rsidR="00515DFA" w:rsidRDefault="00515DFA" w:rsidP="00515DFA">
      <w:pPr>
        <w:spacing w:after="0" w:line="360" w:lineRule="auto"/>
        <w:jc w:val="both"/>
        <w:rPr>
          <w:rFonts w:ascii="Arial" w:hAnsi="Arial" w:cs="Arial"/>
        </w:rPr>
      </w:pPr>
    </w:p>
    <w:p w14:paraId="4E00BA90" w14:textId="77777777" w:rsidR="00515DFA" w:rsidRPr="00ED749F" w:rsidRDefault="00515DFA" w:rsidP="00515DFA">
      <w:pPr>
        <w:pStyle w:val="ListParagraph"/>
        <w:numPr>
          <w:ilvl w:val="0"/>
          <w:numId w:val="1"/>
        </w:numPr>
        <w:spacing w:after="0" w:line="360" w:lineRule="auto"/>
        <w:jc w:val="both"/>
        <w:rPr>
          <w:rFonts w:ascii="Arial" w:hAnsi="Arial" w:cs="Arial"/>
        </w:rPr>
      </w:pPr>
      <w:hyperlink r:id="rId11" w:history="1">
        <w:r w:rsidRPr="00ED749F">
          <w:rPr>
            <w:rStyle w:val="Hyperlink"/>
            <w:rFonts w:ascii="Arial" w:hAnsi="Arial" w:cs="Arial"/>
          </w:rPr>
          <w:t>https://www2.deloitte.com/gh/en/pages/about-deloitte/articles/economic-impact-of-Covid-19-pandemic-on-the-economyof-ghana.html</w:t>
        </w:r>
      </w:hyperlink>
      <w:r w:rsidRPr="00ED749F">
        <w:rPr>
          <w:rFonts w:ascii="Arial" w:hAnsi="Arial" w:cs="Arial"/>
        </w:rPr>
        <w:t>. Assessed 4/20/2020</w:t>
      </w:r>
    </w:p>
    <w:p w14:paraId="0D01FE22" w14:textId="77777777" w:rsidR="00515DFA" w:rsidRPr="00DE6425" w:rsidRDefault="00515DFA" w:rsidP="00515DFA">
      <w:pPr>
        <w:spacing w:after="0" w:line="360" w:lineRule="auto"/>
        <w:jc w:val="both"/>
        <w:rPr>
          <w:rFonts w:ascii="Arial" w:hAnsi="Arial" w:cs="Arial"/>
        </w:rPr>
      </w:pPr>
    </w:p>
    <w:p w14:paraId="207F0D55" w14:textId="77777777" w:rsidR="00515DFA" w:rsidRPr="00ED749F" w:rsidRDefault="00515DFA" w:rsidP="00515DFA">
      <w:pPr>
        <w:pStyle w:val="ListParagraph"/>
        <w:numPr>
          <w:ilvl w:val="0"/>
          <w:numId w:val="1"/>
        </w:numPr>
        <w:spacing w:after="0" w:line="360" w:lineRule="auto"/>
        <w:jc w:val="both"/>
        <w:rPr>
          <w:rFonts w:ascii="Arial" w:hAnsi="Arial" w:cs="Arial"/>
        </w:rPr>
      </w:pPr>
      <w:hyperlink r:id="rId12" w:history="1">
        <w:r w:rsidRPr="00ED749F">
          <w:rPr>
            <w:rStyle w:val="Hyperlink"/>
            <w:rFonts w:ascii="Arial" w:hAnsi="Arial" w:cs="Arial"/>
          </w:rPr>
          <w:t>https://www.xe.com/currencycharts/?from=USD&amp;to=GHS</w:t>
        </w:r>
      </w:hyperlink>
      <w:r w:rsidRPr="00ED749F">
        <w:rPr>
          <w:rFonts w:ascii="Arial" w:hAnsi="Arial" w:cs="Arial"/>
        </w:rPr>
        <w:t>. Assessed 4/20/2020</w:t>
      </w:r>
    </w:p>
    <w:p w14:paraId="452F4B72" w14:textId="77777777" w:rsidR="00515DFA" w:rsidRPr="00DE6425" w:rsidRDefault="00515DFA" w:rsidP="00515DFA">
      <w:pPr>
        <w:spacing w:after="0" w:line="360" w:lineRule="auto"/>
        <w:jc w:val="both"/>
        <w:rPr>
          <w:rFonts w:ascii="Arial" w:hAnsi="Arial" w:cs="Arial"/>
        </w:rPr>
      </w:pPr>
    </w:p>
    <w:p w14:paraId="426E3EE3" w14:textId="77777777" w:rsidR="00515DFA" w:rsidRPr="00ED749F" w:rsidRDefault="00515DFA" w:rsidP="00515DFA">
      <w:pPr>
        <w:pStyle w:val="ListParagraph"/>
        <w:numPr>
          <w:ilvl w:val="0"/>
          <w:numId w:val="1"/>
        </w:numPr>
        <w:spacing w:after="0" w:line="360" w:lineRule="auto"/>
        <w:jc w:val="both"/>
        <w:rPr>
          <w:rFonts w:ascii="Arial" w:hAnsi="Arial" w:cs="Arial"/>
        </w:rPr>
      </w:pPr>
      <w:hyperlink r:id="rId13" w:history="1">
        <w:r w:rsidRPr="00ED749F">
          <w:rPr>
            <w:rStyle w:val="Hyperlink"/>
            <w:rFonts w:ascii="Arial" w:hAnsi="Arial" w:cs="Arial"/>
          </w:rPr>
          <w:t>https://finance.yahoo.com/quote/GHS%3DX?p=GHS%3DX</w:t>
        </w:r>
      </w:hyperlink>
      <w:r w:rsidRPr="00ED749F">
        <w:rPr>
          <w:rFonts w:ascii="Arial" w:hAnsi="Arial" w:cs="Arial"/>
        </w:rPr>
        <w:t>. Assessed 4/20/2020</w:t>
      </w:r>
    </w:p>
    <w:p w14:paraId="1A6F6894" w14:textId="77777777" w:rsidR="00515DFA" w:rsidRDefault="00515DFA" w:rsidP="00515DFA">
      <w:pPr>
        <w:spacing w:after="0" w:line="360" w:lineRule="auto"/>
        <w:jc w:val="both"/>
        <w:rPr>
          <w:rFonts w:ascii="Arial" w:hAnsi="Arial" w:cs="Arial"/>
        </w:rPr>
      </w:pPr>
    </w:p>
    <w:p w14:paraId="5E181627" w14:textId="77777777" w:rsidR="00515DFA" w:rsidRDefault="00515DFA" w:rsidP="00515DFA">
      <w:pPr>
        <w:spacing w:after="0" w:line="360" w:lineRule="auto"/>
        <w:jc w:val="both"/>
        <w:rPr>
          <w:rFonts w:ascii="Arial" w:hAnsi="Arial" w:cs="Arial"/>
        </w:rPr>
      </w:pPr>
    </w:p>
    <w:p w14:paraId="5D16BB2B" w14:textId="77777777" w:rsidR="00515DFA" w:rsidRDefault="00515DFA" w:rsidP="00515DFA">
      <w:pPr>
        <w:spacing w:after="0" w:line="360" w:lineRule="auto"/>
        <w:jc w:val="both"/>
        <w:rPr>
          <w:rFonts w:ascii="Arial" w:hAnsi="Arial" w:cs="Arial"/>
        </w:rPr>
      </w:pPr>
    </w:p>
    <w:p w14:paraId="4C175B21" w14:textId="77777777" w:rsidR="00515DFA" w:rsidRDefault="00515DFA" w:rsidP="00515DFA">
      <w:pPr>
        <w:spacing w:after="0" w:line="360" w:lineRule="auto"/>
        <w:jc w:val="both"/>
        <w:rPr>
          <w:rFonts w:ascii="Arial" w:hAnsi="Arial" w:cs="Arial"/>
        </w:rPr>
      </w:pPr>
    </w:p>
    <w:p w14:paraId="5363E316" w14:textId="3A0B9ABC" w:rsidR="00A7461D" w:rsidRDefault="00A7461D" w:rsidP="0012047A">
      <w:pPr>
        <w:spacing w:after="0" w:line="360" w:lineRule="auto"/>
        <w:jc w:val="both"/>
        <w:rPr>
          <w:rFonts w:ascii="Arial" w:hAnsi="Arial" w:cs="Arial"/>
        </w:rPr>
      </w:pPr>
    </w:p>
    <w:p w14:paraId="6A3BECAB" w14:textId="17F35C2D" w:rsidR="00A7461D" w:rsidRDefault="00A7461D" w:rsidP="0012047A">
      <w:pPr>
        <w:spacing w:after="0" w:line="360" w:lineRule="auto"/>
        <w:jc w:val="both"/>
        <w:rPr>
          <w:rFonts w:ascii="Arial" w:hAnsi="Arial" w:cs="Arial"/>
        </w:rPr>
      </w:pPr>
    </w:p>
    <w:p w14:paraId="6E23EE15" w14:textId="73717D42" w:rsidR="00A7461D" w:rsidRDefault="00A7461D" w:rsidP="0012047A">
      <w:pPr>
        <w:spacing w:after="0" w:line="360" w:lineRule="auto"/>
        <w:jc w:val="both"/>
        <w:rPr>
          <w:rFonts w:ascii="Arial" w:hAnsi="Arial" w:cs="Arial"/>
        </w:rPr>
      </w:pPr>
    </w:p>
    <w:p w14:paraId="63DF40E4" w14:textId="06C944AC" w:rsidR="00A7461D" w:rsidRDefault="00A7461D" w:rsidP="0012047A">
      <w:pPr>
        <w:spacing w:after="0" w:line="360" w:lineRule="auto"/>
        <w:jc w:val="both"/>
        <w:rPr>
          <w:rFonts w:ascii="Arial" w:hAnsi="Arial" w:cs="Arial"/>
        </w:rPr>
      </w:pPr>
    </w:p>
    <w:p w14:paraId="725C25CA" w14:textId="5422B622" w:rsidR="00A7461D" w:rsidRDefault="00A7461D" w:rsidP="0012047A">
      <w:pPr>
        <w:spacing w:after="0" w:line="360" w:lineRule="auto"/>
        <w:jc w:val="both"/>
        <w:rPr>
          <w:rFonts w:ascii="Arial" w:hAnsi="Arial" w:cs="Arial"/>
        </w:rPr>
      </w:pPr>
    </w:p>
    <w:p w14:paraId="52B22B04" w14:textId="18290B2D" w:rsidR="00A7461D" w:rsidRDefault="00A7461D" w:rsidP="0012047A">
      <w:pPr>
        <w:spacing w:after="0" w:line="360" w:lineRule="auto"/>
        <w:jc w:val="both"/>
        <w:rPr>
          <w:rFonts w:ascii="Arial" w:hAnsi="Arial" w:cs="Arial"/>
        </w:rPr>
      </w:pPr>
    </w:p>
    <w:p w14:paraId="799E8533" w14:textId="5168FD26" w:rsidR="00A7461D" w:rsidRDefault="00A7461D" w:rsidP="0012047A">
      <w:pPr>
        <w:spacing w:after="0" w:line="360" w:lineRule="auto"/>
        <w:jc w:val="both"/>
        <w:rPr>
          <w:rFonts w:ascii="Arial" w:hAnsi="Arial" w:cs="Arial"/>
        </w:rPr>
      </w:pPr>
    </w:p>
    <w:p w14:paraId="43C46BF4" w14:textId="616E3E9D" w:rsidR="00A7461D" w:rsidRDefault="00A7461D" w:rsidP="0012047A">
      <w:pPr>
        <w:spacing w:after="0" w:line="360" w:lineRule="auto"/>
        <w:jc w:val="both"/>
        <w:rPr>
          <w:rFonts w:ascii="Arial" w:hAnsi="Arial" w:cs="Arial"/>
        </w:rPr>
      </w:pPr>
    </w:p>
    <w:p w14:paraId="5D64F81B" w14:textId="058F134E" w:rsidR="00A7461D" w:rsidRDefault="00A7461D" w:rsidP="0012047A">
      <w:pPr>
        <w:spacing w:after="0" w:line="360" w:lineRule="auto"/>
        <w:jc w:val="both"/>
        <w:rPr>
          <w:rFonts w:ascii="Arial" w:hAnsi="Arial" w:cs="Arial"/>
        </w:rPr>
      </w:pPr>
    </w:p>
    <w:p w14:paraId="5CE4559A" w14:textId="3EB4CC9D" w:rsidR="00A7461D" w:rsidRDefault="00A7461D" w:rsidP="0012047A">
      <w:pPr>
        <w:spacing w:after="0" w:line="360" w:lineRule="auto"/>
        <w:jc w:val="both"/>
        <w:rPr>
          <w:rFonts w:ascii="Arial" w:hAnsi="Arial" w:cs="Arial"/>
        </w:rPr>
      </w:pPr>
    </w:p>
    <w:p w14:paraId="391A6A71" w14:textId="45724EDC" w:rsidR="00A7461D" w:rsidRDefault="00A7461D" w:rsidP="0012047A">
      <w:pPr>
        <w:spacing w:after="0" w:line="360" w:lineRule="auto"/>
        <w:jc w:val="both"/>
        <w:rPr>
          <w:rFonts w:ascii="Arial" w:hAnsi="Arial" w:cs="Arial"/>
        </w:rPr>
      </w:pPr>
    </w:p>
    <w:p w14:paraId="4D4837A5" w14:textId="668B9A18" w:rsidR="00A7461D" w:rsidRDefault="00A7461D" w:rsidP="0012047A">
      <w:pPr>
        <w:spacing w:after="0" w:line="360" w:lineRule="auto"/>
        <w:jc w:val="both"/>
        <w:rPr>
          <w:rFonts w:ascii="Arial" w:hAnsi="Arial" w:cs="Arial"/>
        </w:rPr>
      </w:pPr>
    </w:p>
    <w:p w14:paraId="14A36CCE" w14:textId="5C91C565" w:rsidR="00A7461D" w:rsidRDefault="00A7461D" w:rsidP="0012047A">
      <w:pPr>
        <w:spacing w:after="0" w:line="360" w:lineRule="auto"/>
        <w:jc w:val="both"/>
        <w:rPr>
          <w:rFonts w:ascii="Arial" w:hAnsi="Arial" w:cs="Arial"/>
        </w:rPr>
      </w:pPr>
    </w:p>
    <w:p w14:paraId="5F4E941F" w14:textId="649560B2" w:rsidR="00A7461D" w:rsidRDefault="00A7461D" w:rsidP="0012047A">
      <w:pPr>
        <w:spacing w:after="0" w:line="360" w:lineRule="auto"/>
        <w:jc w:val="both"/>
        <w:rPr>
          <w:rFonts w:ascii="Arial" w:hAnsi="Arial" w:cs="Arial"/>
        </w:rPr>
      </w:pPr>
    </w:p>
    <w:p w14:paraId="51AB7B08" w14:textId="3A9BD11A" w:rsidR="00A7461D" w:rsidRDefault="00A7461D" w:rsidP="0012047A">
      <w:pPr>
        <w:spacing w:after="0" w:line="360" w:lineRule="auto"/>
        <w:jc w:val="both"/>
        <w:rPr>
          <w:rFonts w:ascii="Arial" w:hAnsi="Arial" w:cs="Arial"/>
        </w:rPr>
      </w:pPr>
    </w:p>
    <w:p w14:paraId="06B19B34" w14:textId="669BDBAD" w:rsidR="00A7461D" w:rsidRDefault="00A7461D" w:rsidP="0012047A">
      <w:pPr>
        <w:spacing w:after="0" w:line="360" w:lineRule="auto"/>
        <w:jc w:val="both"/>
        <w:rPr>
          <w:rFonts w:ascii="Arial" w:hAnsi="Arial" w:cs="Arial"/>
        </w:rPr>
      </w:pPr>
    </w:p>
    <w:p w14:paraId="0447681F" w14:textId="427232CC" w:rsidR="00A7461D" w:rsidRDefault="00A7461D" w:rsidP="0012047A">
      <w:pPr>
        <w:spacing w:after="0" w:line="360" w:lineRule="auto"/>
        <w:jc w:val="both"/>
        <w:rPr>
          <w:rFonts w:ascii="Arial" w:hAnsi="Arial" w:cs="Arial"/>
        </w:rPr>
      </w:pPr>
    </w:p>
    <w:p w14:paraId="3213852A" w14:textId="31E879EB" w:rsidR="00A7461D" w:rsidRDefault="00A7461D" w:rsidP="0012047A">
      <w:pPr>
        <w:spacing w:after="0" w:line="360" w:lineRule="auto"/>
        <w:jc w:val="both"/>
        <w:rPr>
          <w:rFonts w:ascii="Arial" w:hAnsi="Arial" w:cs="Arial"/>
        </w:rPr>
      </w:pPr>
    </w:p>
    <w:p w14:paraId="3E9A0829" w14:textId="3637D3ED" w:rsidR="00A7461D" w:rsidRDefault="00A7461D" w:rsidP="0012047A">
      <w:pPr>
        <w:spacing w:after="0" w:line="360" w:lineRule="auto"/>
        <w:jc w:val="both"/>
        <w:rPr>
          <w:rFonts w:ascii="Arial" w:hAnsi="Arial" w:cs="Arial"/>
        </w:rPr>
      </w:pPr>
    </w:p>
    <w:p w14:paraId="16CA0C6F" w14:textId="77777777" w:rsidR="00A7461D" w:rsidRPr="00E222A7" w:rsidRDefault="00A7461D" w:rsidP="0012047A">
      <w:pPr>
        <w:spacing w:after="0" w:line="360" w:lineRule="auto"/>
        <w:jc w:val="both"/>
        <w:rPr>
          <w:rFonts w:ascii="Arial" w:hAnsi="Arial" w:cs="Arial"/>
        </w:rPr>
      </w:pPr>
    </w:p>
    <w:sectPr w:rsidR="00A7461D" w:rsidRPr="00E222A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BB299" w14:textId="77777777" w:rsidR="00F2442D" w:rsidRDefault="00F2442D" w:rsidP="00831D2B">
      <w:pPr>
        <w:spacing w:after="0" w:line="240" w:lineRule="auto"/>
      </w:pPr>
      <w:r>
        <w:separator/>
      </w:r>
    </w:p>
  </w:endnote>
  <w:endnote w:type="continuationSeparator" w:id="0">
    <w:p w14:paraId="6F113FBC" w14:textId="77777777" w:rsidR="00F2442D" w:rsidRDefault="00F2442D" w:rsidP="008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361730"/>
      <w:docPartObj>
        <w:docPartGallery w:val="Page Numbers (Bottom of Page)"/>
        <w:docPartUnique/>
      </w:docPartObj>
    </w:sdtPr>
    <w:sdtEndPr>
      <w:rPr>
        <w:noProof/>
      </w:rPr>
    </w:sdtEndPr>
    <w:sdtContent>
      <w:p w14:paraId="70FEFCAE" w14:textId="77777777" w:rsidR="00515DFA" w:rsidRDefault="00515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0886A" w14:textId="77777777" w:rsidR="00515DFA" w:rsidRDefault="00515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510141"/>
      <w:docPartObj>
        <w:docPartGallery w:val="Page Numbers (Bottom of Page)"/>
        <w:docPartUnique/>
      </w:docPartObj>
    </w:sdtPr>
    <w:sdtEndPr>
      <w:rPr>
        <w:noProof/>
      </w:rPr>
    </w:sdtEndPr>
    <w:sdtContent>
      <w:p w14:paraId="6C3DFFCF" w14:textId="05B42A00" w:rsidR="00DC377F" w:rsidRDefault="00DC3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D0300" w14:textId="77777777" w:rsidR="00DC377F" w:rsidRDefault="00DC3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A67F9" w14:textId="77777777" w:rsidR="00F2442D" w:rsidRDefault="00F2442D" w:rsidP="00831D2B">
      <w:pPr>
        <w:spacing w:after="0" w:line="240" w:lineRule="auto"/>
      </w:pPr>
      <w:r>
        <w:separator/>
      </w:r>
    </w:p>
  </w:footnote>
  <w:footnote w:type="continuationSeparator" w:id="0">
    <w:p w14:paraId="378C4CEA" w14:textId="77777777" w:rsidR="00F2442D" w:rsidRDefault="00F2442D" w:rsidP="0083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AEA3" w14:textId="77777777" w:rsidR="00515DFA" w:rsidRPr="004255DF" w:rsidRDefault="00515DFA">
    <w:pPr>
      <w:pStyle w:val="Header"/>
      <w:rPr>
        <w:rFonts w:ascii="Arial" w:hAnsi="Arial" w:cs="Arial"/>
        <w:b/>
        <w:bCs/>
      </w:rPr>
    </w:pPr>
    <w:r w:rsidRPr="004255DF">
      <w:rPr>
        <w:rFonts w:ascii="Arial" w:hAnsi="Arial" w:cs="Arial"/>
        <w:b/>
        <w:bCs/>
      </w:rPr>
      <w:t>Currency Speculation Project</w:t>
    </w:r>
    <w:r w:rsidRPr="004255DF">
      <w:rPr>
        <w:rFonts w:ascii="Arial" w:hAnsi="Arial" w:cs="Arial"/>
        <w:b/>
        <w:bCs/>
      </w:rPr>
      <w:tab/>
    </w:r>
    <w:r w:rsidRPr="004255DF">
      <w:rPr>
        <w:rFonts w:ascii="Arial" w:hAnsi="Arial" w:cs="Arial"/>
        <w:b/>
        <w:bCs/>
      </w:rPr>
      <w:tab/>
      <w:t>4/17/202</w:t>
    </w:r>
    <w:r>
      <w:rPr>
        <w:rFonts w:ascii="Arial" w:hAnsi="Arial" w:cs="Arial"/>
        <w:b/>
        <w:bCs/>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EA54B" w14:textId="3082143E" w:rsidR="00831D2B" w:rsidRPr="004255DF" w:rsidRDefault="004255DF">
    <w:pPr>
      <w:pStyle w:val="Header"/>
      <w:rPr>
        <w:rFonts w:ascii="Arial" w:hAnsi="Arial" w:cs="Arial"/>
        <w:b/>
        <w:bCs/>
      </w:rPr>
    </w:pPr>
    <w:r w:rsidRPr="004255DF">
      <w:rPr>
        <w:rFonts w:ascii="Arial" w:hAnsi="Arial" w:cs="Arial"/>
        <w:b/>
        <w:bCs/>
      </w:rPr>
      <w:t>Currency Speculation Project</w:t>
    </w:r>
    <w:r w:rsidRPr="004255DF">
      <w:rPr>
        <w:rFonts w:ascii="Arial" w:hAnsi="Arial" w:cs="Arial"/>
        <w:b/>
        <w:bCs/>
      </w:rPr>
      <w:tab/>
    </w:r>
    <w:r w:rsidRPr="004255DF">
      <w:rPr>
        <w:rFonts w:ascii="Arial" w:hAnsi="Arial" w:cs="Arial"/>
        <w:b/>
        <w:bCs/>
      </w:rPr>
      <w:tab/>
      <w:t>4/17/202</w:t>
    </w:r>
    <w:r w:rsidR="00FD61B5">
      <w:rPr>
        <w:rFonts w:ascii="Arial" w:hAnsi="Arial" w:cs="Arial"/>
        <w:b/>
        <w:bC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83EDF"/>
    <w:multiLevelType w:val="hybridMultilevel"/>
    <w:tmpl w:val="68B67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41"/>
    <w:rsid w:val="00002CAF"/>
    <w:rsid w:val="00002E58"/>
    <w:rsid w:val="00011816"/>
    <w:rsid w:val="0001341C"/>
    <w:rsid w:val="00037AC5"/>
    <w:rsid w:val="00047DFC"/>
    <w:rsid w:val="000540FF"/>
    <w:rsid w:val="0008333D"/>
    <w:rsid w:val="000906A4"/>
    <w:rsid w:val="000B2777"/>
    <w:rsid w:val="000B4780"/>
    <w:rsid w:val="000B751C"/>
    <w:rsid w:val="000C6895"/>
    <w:rsid w:val="000C6D1F"/>
    <w:rsid w:val="000D2D8D"/>
    <w:rsid w:val="000F38B1"/>
    <w:rsid w:val="000F70FE"/>
    <w:rsid w:val="000F79E2"/>
    <w:rsid w:val="001015E9"/>
    <w:rsid w:val="0011392D"/>
    <w:rsid w:val="001177A6"/>
    <w:rsid w:val="0012047A"/>
    <w:rsid w:val="00132A5E"/>
    <w:rsid w:val="00135C9B"/>
    <w:rsid w:val="001379C5"/>
    <w:rsid w:val="00140B7E"/>
    <w:rsid w:val="00142C06"/>
    <w:rsid w:val="00145B5F"/>
    <w:rsid w:val="00157740"/>
    <w:rsid w:val="001633AC"/>
    <w:rsid w:val="00182ED5"/>
    <w:rsid w:val="00185E64"/>
    <w:rsid w:val="00186D0A"/>
    <w:rsid w:val="00196A8C"/>
    <w:rsid w:val="001A2B9C"/>
    <w:rsid w:val="001A3CD3"/>
    <w:rsid w:val="001A7D2F"/>
    <w:rsid w:val="001C34D5"/>
    <w:rsid w:val="001C44B2"/>
    <w:rsid w:val="001C5637"/>
    <w:rsid w:val="00210819"/>
    <w:rsid w:val="00235109"/>
    <w:rsid w:val="00240E02"/>
    <w:rsid w:val="002447BF"/>
    <w:rsid w:val="00244D45"/>
    <w:rsid w:val="00262A90"/>
    <w:rsid w:val="002746C4"/>
    <w:rsid w:val="002770B9"/>
    <w:rsid w:val="00277CE4"/>
    <w:rsid w:val="00280AE6"/>
    <w:rsid w:val="002870C7"/>
    <w:rsid w:val="00291356"/>
    <w:rsid w:val="002A4B51"/>
    <w:rsid w:val="002A723E"/>
    <w:rsid w:val="002B750C"/>
    <w:rsid w:val="002C2E8F"/>
    <w:rsid w:val="002E4526"/>
    <w:rsid w:val="002F1D22"/>
    <w:rsid w:val="00302C70"/>
    <w:rsid w:val="00303041"/>
    <w:rsid w:val="00325C2F"/>
    <w:rsid w:val="00337BB3"/>
    <w:rsid w:val="00343674"/>
    <w:rsid w:val="003465F5"/>
    <w:rsid w:val="00347EBE"/>
    <w:rsid w:val="003559CE"/>
    <w:rsid w:val="0035712E"/>
    <w:rsid w:val="00365EC5"/>
    <w:rsid w:val="00375CF4"/>
    <w:rsid w:val="0038162C"/>
    <w:rsid w:val="00383D58"/>
    <w:rsid w:val="003847DC"/>
    <w:rsid w:val="00384B92"/>
    <w:rsid w:val="003E0CF3"/>
    <w:rsid w:val="003E26ED"/>
    <w:rsid w:val="003E55A9"/>
    <w:rsid w:val="003F15EE"/>
    <w:rsid w:val="003F59F2"/>
    <w:rsid w:val="00403C2F"/>
    <w:rsid w:val="0040648F"/>
    <w:rsid w:val="00412D17"/>
    <w:rsid w:val="004255DF"/>
    <w:rsid w:val="00426D0D"/>
    <w:rsid w:val="0042721C"/>
    <w:rsid w:val="00433419"/>
    <w:rsid w:val="00436639"/>
    <w:rsid w:val="00443AF2"/>
    <w:rsid w:val="00444AB5"/>
    <w:rsid w:val="00446B3D"/>
    <w:rsid w:val="004670ED"/>
    <w:rsid w:val="004702E2"/>
    <w:rsid w:val="00475623"/>
    <w:rsid w:val="00496C19"/>
    <w:rsid w:val="004B2EBB"/>
    <w:rsid w:val="004B451A"/>
    <w:rsid w:val="004C23EC"/>
    <w:rsid w:val="004C3A4D"/>
    <w:rsid w:val="004C6230"/>
    <w:rsid w:val="00510000"/>
    <w:rsid w:val="005116E1"/>
    <w:rsid w:val="0051179F"/>
    <w:rsid w:val="00511D27"/>
    <w:rsid w:val="00513236"/>
    <w:rsid w:val="00514284"/>
    <w:rsid w:val="00515DFA"/>
    <w:rsid w:val="005171A7"/>
    <w:rsid w:val="005309CF"/>
    <w:rsid w:val="00532209"/>
    <w:rsid w:val="005334D5"/>
    <w:rsid w:val="00547518"/>
    <w:rsid w:val="005503F1"/>
    <w:rsid w:val="00557327"/>
    <w:rsid w:val="005651FC"/>
    <w:rsid w:val="0057254E"/>
    <w:rsid w:val="00584E0D"/>
    <w:rsid w:val="0058539E"/>
    <w:rsid w:val="0059140A"/>
    <w:rsid w:val="00594D80"/>
    <w:rsid w:val="005955C5"/>
    <w:rsid w:val="005A6E87"/>
    <w:rsid w:val="005C3CFB"/>
    <w:rsid w:val="005D057A"/>
    <w:rsid w:val="005D4664"/>
    <w:rsid w:val="005E1644"/>
    <w:rsid w:val="005E1E65"/>
    <w:rsid w:val="005E63F4"/>
    <w:rsid w:val="005F0C07"/>
    <w:rsid w:val="005F42CF"/>
    <w:rsid w:val="00602D98"/>
    <w:rsid w:val="00614F9F"/>
    <w:rsid w:val="006209AE"/>
    <w:rsid w:val="00624991"/>
    <w:rsid w:val="006403DF"/>
    <w:rsid w:val="00640655"/>
    <w:rsid w:val="006454D3"/>
    <w:rsid w:val="00646CFA"/>
    <w:rsid w:val="006505BC"/>
    <w:rsid w:val="0065365C"/>
    <w:rsid w:val="0067136A"/>
    <w:rsid w:val="00682082"/>
    <w:rsid w:val="00682808"/>
    <w:rsid w:val="00694D6F"/>
    <w:rsid w:val="00696647"/>
    <w:rsid w:val="006A172A"/>
    <w:rsid w:val="006A6E54"/>
    <w:rsid w:val="006B6C59"/>
    <w:rsid w:val="006B7AE2"/>
    <w:rsid w:val="006D34F4"/>
    <w:rsid w:val="006D62B5"/>
    <w:rsid w:val="006E45E3"/>
    <w:rsid w:val="006E5BB5"/>
    <w:rsid w:val="006F7069"/>
    <w:rsid w:val="007006F9"/>
    <w:rsid w:val="0070210E"/>
    <w:rsid w:val="00720795"/>
    <w:rsid w:val="00726A9A"/>
    <w:rsid w:val="007273F2"/>
    <w:rsid w:val="00730979"/>
    <w:rsid w:val="0073251C"/>
    <w:rsid w:val="00737930"/>
    <w:rsid w:val="007409EB"/>
    <w:rsid w:val="00740B8D"/>
    <w:rsid w:val="00744E51"/>
    <w:rsid w:val="00746405"/>
    <w:rsid w:val="0074661D"/>
    <w:rsid w:val="00753931"/>
    <w:rsid w:val="007628F7"/>
    <w:rsid w:val="007654B0"/>
    <w:rsid w:val="007664C8"/>
    <w:rsid w:val="007719A5"/>
    <w:rsid w:val="00771DE8"/>
    <w:rsid w:val="0077297E"/>
    <w:rsid w:val="00784AA9"/>
    <w:rsid w:val="00787B5A"/>
    <w:rsid w:val="0079149D"/>
    <w:rsid w:val="007A5040"/>
    <w:rsid w:val="007A5654"/>
    <w:rsid w:val="007B4311"/>
    <w:rsid w:val="007D0730"/>
    <w:rsid w:val="007D3370"/>
    <w:rsid w:val="007E09EC"/>
    <w:rsid w:val="007E528D"/>
    <w:rsid w:val="00805F36"/>
    <w:rsid w:val="00812287"/>
    <w:rsid w:val="00812318"/>
    <w:rsid w:val="00812991"/>
    <w:rsid w:val="00831D2B"/>
    <w:rsid w:val="00831E6C"/>
    <w:rsid w:val="00842036"/>
    <w:rsid w:val="0084432C"/>
    <w:rsid w:val="008613A0"/>
    <w:rsid w:val="00894197"/>
    <w:rsid w:val="008C1E55"/>
    <w:rsid w:val="008C59E5"/>
    <w:rsid w:val="008D508C"/>
    <w:rsid w:val="009045FD"/>
    <w:rsid w:val="00912188"/>
    <w:rsid w:val="00915895"/>
    <w:rsid w:val="00926204"/>
    <w:rsid w:val="00927F41"/>
    <w:rsid w:val="00931634"/>
    <w:rsid w:val="0095379C"/>
    <w:rsid w:val="00954200"/>
    <w:rsid w:val="009572D3"/>
    <w:rsid w:val="0096002A"/>
    <w:rsid w:val="00990DCD"/>
    <w:rsid w:val="009A648A"/>
    <w:rsid w:val="009B0716"/>
    <w:rsid w:val="009B6439"/>
    <w:rsid w:val="009C5276"/>
    <w:rsid w:val="009C5DB5"/>
    <w:rsid w:val="009C5F68"/>
    <w:rsid w:val="009C78AD"/>
    <w:rsid w:val="009E37A7"/>
    <w:rsid w:val="009E3E7E"/>
    <w:rsid w:val="009E694A"/>
    <w:rsid w:val="00A12615"/>
    <w:rsid w:val="00A13A83"/>
    <w:rsid w:val="00A22E3C"/>
    <w:rsid w:val="00A23568"/>
    <w:rsid w:val="00A358E1"/>
    <w:rsid w:val="00A36ED5"/>
    <w:rsid w:val="00A40EB1"/>
    <w:rsid w:val="00A648B9"/>
    <w:rsid w:val="00A67E11"/>
    <w:rsid w:val="00A7461D"/>
    <w:rsid w:val="00A82BC7"/>
    <w:rsid w:val="00A91F5D"/>
    <w:rsid w:val="00A94C92"/>
    <w:rsid w:val="00AA3B8B"/>
    <w:rsid w:val="00AA50FD"/>
    <w:rsid w:val="00AA60AA"/>
    <w:rsid w:val="00AA6355"/>
    <w:rsid w:val="00AB0A41"/>
    <w:rsid w:val="00AC34AB"/>
    <w:rsid w:val="00AD17E9"/>
    <w:rsid w:val="00AD420E"/>
    <w:rsid w:val="00AD464D"/>
    <w:rsid w:val="00AE730B"/>
    <w:rsid w:val="00AF45D3"/>
    <w:rsid w:val="00AF6B72"/>
    <w:rsid w:val="00B043E5"/>
    <w:rsid w:val="00B07087"/>
    <w:rsid w:val="00B35B9D"/>
    <w:rsid w:val="00B41EB2"/>
    <w:rsid w:val="00B43081"/>
    <w:rsid w:val="00B5071D"/>
    <w:rsid w:val="00B71241"/>
    <w:rsid w:val="00B85538"/>
    <w:rsid w:val="00B87569"/>
    <w:rsid w:val="00B92F85"/>
    <w:rsid w:val="00BA4780"/>
    <w:rsid w:val="00BB2E9A"/>
    <w:rsid w:val="00BB4FFF"/>
    <w:rsid w:val="00BB660E"/>
    <w:rsid w:val="00BB75BB"/>
    <w:rsid w:val="00BE257D"/>
    <w:rsid w:val="00BF0470"/>
    <w:rsid w:val="00BF4205"/>
    <w:rsid w:val="00BF4637"/>
    <w:rsid w:val="00C052EB"/>
    <w:rsid w:val="00C1039F"/>
    <w:rsid w:val="00C15735"/>
    <w:rsid w:val="00C16A3C"/>
    <w:rsid w:val="00C22A09"/>
    <w:rsid w:val="00C27358"/>
    <w:rsid w:val="00C40E49"/>
    <w:rsid w:val="00C41BE3"/>
    <w:rsid w:val="00C4343E"/>
    <w:rsid w:val="00C434DE"/>
    <w:rsid w:val="00C47D59"/>
    <w:rsid w:val="00C640D2"/>
    <w:rsid w:val="00C65381"/>
    <w:rsid w:val="00C80A6C"/>
    <w:rsid w:val="00C91286"/>
    <w:rsid w:val="00C92560"/>
    <w:rsid w:val="00CA419A"/>
    <w:rsid w:val="00CB1DB8"/>
    <w:rsid w:val="00CB4731"/>
    <w:rsid w:val="00CB5D41"/>
    <w:rsid w:val="00CE4C9F"/>
    <w:rsid w:val="00D020A9"/>
    <w:rsid w:val="00D06BAA"/>
    <w:rsid w:val="00D1386B"/>
    <w:rsid w:val="00D20179"/>
    <w:rsid w:val="00D5453F"/>
    <w:rsid w:val="00D7346B"/>
    <w:rsid w:val="00DB1A05"/>
    <w:rsid w:val="00DB201C"/>
    <w:rsid w:val="00DC377F"/>
    <w:rsid w:val="00DC3B8B"/>
    <w:rsid w:val="00DC77EA"/>
    <w:rsid w:val="00DD729D"/>
    <w:rsid w:val="00DE10C7"/>
    <w:rsid w:val="00DE6425"/>
    <w:rsid w:val="00DF16A9"/>
    <w:rsid w:val="00DF7F0A"/>
    <w:rsid w:val="00E04C1C"/>
    <w:rsid w:val="00E11DCD"/>
    <w:rsid w:val="00E142C8"/>
    <w:rsid w:val="00E222A7"/>
    <w:rsid w:val="00E26382"/>
    <w:rsid w:val="00E4645E"/>
    <w:rsid w:val="00E517F2"/>
    <w:rsid w:val="00E5225F"/>
    <w:rsid w:val="00E66285"/>
    <w:rsid w:val="00E75B0E"/>
    <w:rsid w:val="00E768FE"/>
    <w:rsid w:val="00E77ACF"/>
    <w:rsid w:val="00E85D34"/>
    <w:rsid w:val="00EA1616"/>
    <w:rsid w:val="00EB0D05"/>
    <w:rsid w:val="00EB5F49"/>
    <w:rsid w:val="00EB742D"/>
    <w:rsid w:val="00EC2382"/>
    <w:rsid w:val="00ED1AE7"/>
    <w:rsid w:val="00ED749F"/>
    <w:rsid w:val="00EE1B0E"/>
    <w:rsid w:val="00EE4215"/>
    <w:rsid w:val="00F2078A"/>
    <w:rsid w:val="00F21B77"/>
    <w:rsid w:val="00F2442D"/>
    <w:rsid w:val="00F36136"/>
    <w:rsid w:val="00F45B41"/>
    <w:rsid w:val="00F50B54"/>
    <w:rsid w:val="00F60A62"/>
    <w:rsid w:val="00F616B9"/>
    <w:rsid w:val="00F633F1"/>
    <w:rsid w:val="00F64A19"/>
    <w:rsid w:val="00F75C6B"/>
    <w:rsid w:val="00F84AD5"/>
    <w:rsid w:val="00F91706"/>
    <w:rsid w:val="00FA680D"/>
    <w:rsid w:val="00FB521A"/>
    <w:rsid w:val="00FD2705"/>
    <w:rsid w:val="00FD4828"/>
    <w:rsid w:val="00FD61B5"/>
    <w:rsid w:val="00FE34E5"/>
    <w:rsid w:val="00FF410F"/>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AF1E"/>
  <w15:chartTrackingRefBased/>
  <w15:docId w15:val="{AA4EF741-57B6-4E2E-9241-9D517B25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34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34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34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34AB"/>
    <w:rPr>
      <w:b/>
      <w:bCs/>
    </w:rPr>
  </w:style>
  <w:style w:type="character" w:styleId="Hyperlink">
    <w:name w:val="Hyperlink"/>
    <w:basedOn w:val="DefaultParagraphFont"/>
    <w:uiPriority w:val="99"/>
    <w:unhideWhenUsed/>
    <w:rsid w:val="00AC34AB"/>
    <w:rPr>
      <w:color w:val="0000FF"/>
      <w:u w:val="single"/>
    </w:rPr>
  </w:style>
  <w:style w:type="paragraph" w:styleId="Header">
    <w:name w:val="header"/>
    <w:basedOn w:val="Normal"/>
    <w:link w:val="HeaderChar"/>
    <w:uiPriority w:val="99"/>
    <w:unhideWhenUsed/>
    <w:rsid w:val="00831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2B"/>
  </w:style>
  <w:style w:type="paragraph" w:styleId="Footer">
    <w:name w:val="footer"/>
    <w:basedOn w:val="Normal"/>
    <w:link w:val="FooterChar"/>
    <w:uiPriority w:val="99"/>
    <w:unhideWhenUsed/>
    <w:rsid w:val="00831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2B"/>
  </w:style>
  <w:style w:type="table" w:styleId="PlainTable3">
    <w:name w:val="Plain Table 3"/>
    <w:basedOn w:val="TableNormal"/>
    <w:uiPriority w:val="43"/>
    <w:rsid w:val="003847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EA1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616"/>
    <w:rPr>
      <w:rFonts w:ascii="Segoe UI" w:hAnsi="Segoe UI" w:cs="Segoe UI"/>
      <w:sz w:val="18"/>
      <w:szCs w:val="18"/>
    </w:rPr>
  </w:style>
  <w:style w:type="character" w:styleId="UnresolvedMention">
    <w:name w:val="Unresolved Mention"/>
    <w:basedOn w:val="DefaultParagraphFont"/>
    <w:uiPriority w:val="99"/>
    <w:semiHidden/>
    <w:unhideWhenUsed/>
    <w:rsid w:val="00510000"/>
    <w:rPr>
      <w:color w:val="605E5C"/>
      <w:shd w:val="clear" w:color="auto" w:fill="E1DFDD"/>
    </w:rPr>
  </w:style>
  <w:style w:type="table" w:styleId="ListTable1Light-Accent3">
    <w:name w:val="List Table 1 Light Accent 3"/>
    <w:basedOn w:val="TableNormal"/>
    <w:uiPriority w:val="46"/>
    <w:rsid w:val="00244D4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D7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52126">
      <w:bodyDiv w:val="1"/>
      <w:marLeft w:val="0"/>
      <w:marRight w:val="0"/>
      <w:marTop w:val="0"/>
      <w:marBottom w:val="0"/>
      <w:divBdr>
        <w:top w:val="none" w:sz="0" w:space="0" w:color="auto"/>
        <w:left w:val="none" w:sz="0" w:space="0" w:color="auto"/>
        <w:bottom w:val="none" w:sz="0" w:space="0" w:color="auto"/>
        <w:right w:val="none" w:sz="0" w:space="0" w:color="auto"/>
      </w:divBdr>
      <w:divsChild>
        <w:div w:id="1550074158">
          <w:marLeft w:val="0"/>
          <w:marRight w:val="0"/>
          <w:marTop w:val="0"/>
          <w:marBottom w:val="0"/>
          <w:divBdr>
            <w:top w:val="none" w:sz="0" w:space="0" w:color="auto"/>
            <w:left w:val="none" w:sz="0" w:space="0" w:color="auto"/>
            <w:bottom w:val="none" w:sz="0" w:space="0" w:color="auto"/>
            <w:right w:val="none" w:sz="0" w:space="0" w:color="auto"/>
          </w:divBdr>
          <w:divsChild>
            <w:div w:id="773984436">
              <w:marLeft w:val="0"/>
              <w:marRight w:val="0"/>
              <w:marTop w:val="0"/>
              <w:marBottom w:val="0"/>
              <w:divBdr>
                <w:top w:val="none" w:sz="0" w:space="0" w:color="auto"/>
                <w:left w:val="none" w:sz="0" w:space="0" w:color="auto"/>
                <w:bottom w:val="none" w:sz="0" w:space="0" w:color="auto"/>
                <w:right w:val="none" w:sz="0" w:space="0" w:color="auto"/>
              </w:divBdr>
            </w:div>
          </w:divsChild>
        </w:div>
        <w:div w:id="1670980441">
          <w:marLeft w:val="0"/>
          <w:marRight w:val="0"/>
          <w:marTop w:val="0"/>
          <w:marBottom w:val="0"/>
          <w:divBdr>
            <w:top w:val="none" w:sz="0" w:space="0" w:color="auto"/>
            <w:left w:val="single" w:sz="6" w:space="14" w:color="CCCCCC"/>
            <w:bottom w:val="none" w:sz="0" w:space="0" w:color="auto"/>
            <w:right w:val="none" w:sz="0" w:space="0" w:color="auto"/>
          </w:divBdr>
          <w:divsChild>
            <w:div w:id="5524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981">
      <w:bodyDiv w:val="1"/>
      <w:marLeft w:val="0"/>
      <w:marRight w:val="0"/>
      <w:marTop w:val="0"/>
      <w:marBottom w:val="0"/>
      <w:divBdr>
        <w:top w:val="none" w:sz="0" w:space="0" w:color="auto"/>
        <w:left w:val="none" w:sz="0" w:space="0" w:color="auto"/>
        <w:bottom w:val="none" w:sz="0" w:space="0" w:color="auto"/>
        <w:right w:val="none" w:sz="0" w:space="0" w:color="auto"/>
      </w:divBdr>
    </w:div>
    <w:div w:id="1494300529">
      <w:bodyDiv w:val="1"/>
      <w:marLeft w:val="0"/>
      <w:marRight w:val="0"/>
      <w:marTop w:val="0"/>
      <w:marBottom w:val="0"/>
      <w:divBdr>
        <w:top w:val="none" w:sz="0" w:space="0" w:color="auto"/>
        <w:left w:val="none" w:sz="0" w:space="0" w:color="auto"/>
        <w:bottom w:val="none" w:sz="0" w:space="0" w:color="auto"/>
        <w:right w:val="none" w:sz="0" w:space="0" w:color="auto"/>
      </w:divBdr>
    </w:div>
    <w:div w:id="1496527465">
      <w:bodyDiv w:val="1"/>
      <w:marLeft w:val="0"/>
      <w:marRight w:val="0"/>
      <w:marTop w:val="0"/>
      <w:marBottom w:val="0"/>
      <w:divBdr>
        <w:top w:val="none" w:sz="0" w:space="0" w:color="auto"/>
        <w:left w:val="none" w:sz="0" w:space="0" w:color="auto"/>
        <w:bottom w:val="none" w:sz="0" w:space="0" w:color="auto"/>
        <w:right w:val="none" w:sz="0" w:space="0" w:color="auto"/>
      </w:divBdr>
    </w:div>
    <w:div w:id="1589532425">
      <w:bodyDiv w:val="1"/>
      <w:marLeft w:val="0"/>
      <w:marRight w:val="0"/>
      <w:marTop w:val="0"/>
      <w:marBottom w:val="0"/>
      <w:divBdr>
        <w:top w:val="none" w:sz="0" w:space="0" w:color="auto"/>
        <w:left w:val="none" w:sz="0" w:space="0" w:color="auto"/>
        <w:bottom w:val="none" w:sz="0" w:space="0" w:color="auto"/>
        <w:right w:val="none" w:sz="0" w:space="0" w:color="auto"/>
      </w:divBdr>
    </w:div>
    <w:div w:id="1987053792">
      <w:bodyDiv w:val="1"/>
      <w:marLeft w:val="0"/>
      <w:marRight w:val="0"/>
      <w:marTop w:val="0"/>
      <w:marBottom w:val="0"/>
      <w:divBdr>
        <w:top w:val="none" w:sz="0" w:space="0" w:color="auto"/>
        <w:left w:val="none" w:sz="0" w:space="0" w:color="auto"/>
        <w:bottom w:val="none" w:sz="0" w:space="0" w:color="auto"/>
        <w:right w:val="none" w:sz="0" w:space="0" w:color="auto"/>
      </w:divBdr>
    </w:div>
    <w:div w:id="21417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ance.yahoo.com/quote/GHS%3DX?p=GHS%3D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xe.com/currencycharts/?from=USD&amp;to=GH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deloitte.com/gh/en/pages/about-deloitte/articles/economic-impact-of-Covid-19-pandemic-on-the-economyof-ghana.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sj.com/market-data/quotes/fx/USDGHS/" TargetMode="External"/><Relationship Id="rId4" Type="http://schemas.openxmlformats.org/officeDocument/2006/relationships/webSettings" Target="webSettings.xml"/><Relationship Id="rId9" Type="http://schemas.openxmlformats.org/officeDocument/2006/relationships/hyperlink" Target="https://www.wsj.com/market-data/quotes/fx/USDGH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1530</Words>
  <Characters>8374</Characters>
  <Application>Microsoft Office Word</Application>
  <DocSecurity>0</DocSecurity>
  <Lines>161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Sourinsack,Phonepaseuth</cp:lastModifiedBy>
  <cp:revision>4</cp:revision>
  <dcterms:created xsi:type="dcterms:W3CDTF">2020-11-06T19:11:00Z</dcterms:created>
  <dcterms:modified xsi:type="dcterms:W3CDTF">2021-05-03T22:50:00Z</dcterms:modified>
</cp:coreProperties>
</file>